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spacing w:line="240" w:lineRule="auto"/>
        <w:ind w:left="1374" w:right="0" w:firstLine="0"/>
        <w:rPr>
          <w:rFonts w:ascii="Times New Roman"/>
          <w:sz w:val="20"/>
        </w:rPr>
      </w:pPr>
      <w:r>
        <w:rPr>
          <w:rFonts w:ascii="Times New Roman"/>
          <w:position w:val="3"/>
          <w:sz w:val="20"/>
        </w:rPr>
        <w:drawing>
          <wp:inline distT="0" distB="0" distL="0" distR="0">
            <wp:extent cx="421268" cy="7620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6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spacing w:val="89"/>
          <w:position w:val="3"/>
          <w:sz w:val="20"/>
        </w:rPr>
        <w:t> </w:t>
      </w:r>
      <w:r>
        <w:rPr>
          <w:rFonts w:ascii="Times New Roman"/>
          <w:spacing w:val="89"/>
          <w:sz w:val="20"/>
        </w:rPr>
        <w:drawing>
          <wp:inline distT="0" distB="0" distL="0" distR="0">
            <wp:extent cx="421899" cy="77628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99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9"/>
          <w:sz w:val="20"/>
        </w:rPr>
      </w:r>
      <w:r>
        <w:rPr>
          <w:rFonts w:ascii="Times New Roman"/>
          <w:spacing w:val="97"/>
          <w:sz w:val="20"/>
        </w:rPr>
        <w:t> </w:t>
      </w:r>
      <w:r>
        <w:rPr>
          <w:rFonts w:ascii="Times New Roman"/>
          <w:spacing w:val="97"/>
          <w:position w:val="2"/>
          <w:sz w:val="20"/>
        </w:rPr>
        <w:drawing>
          <wp:inline distT="0" distB="0" distL="0" distR="0">
            <wp:extent cx="406837" cy="76676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7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7"/>
          <w:position w:val="2"/>
          <w:sz w:val="20"/>
        </w:rPr>
      </w:r>
      <w:r>
        <w:rPr>
          <w:rFonts w:ascii="Times New Roman"/>
          <w:spacing w:val="89"/>
          <w:position w:val="2"/>
          <w:sz w:val="20"/>
        </w:rPr>
        <w:t> </w:t>
      </w:r>
      <w:r>
        <w:rPr>
          <w:rFonts w:ascii="Times New Roman"/>
          <w:spacing w:val="89"/>
          <w:position w:val="2"/>
          <w:sz w:val="20"/>
        </w:rPr>
        <w:drawing>
          <wp:inline distT="0" distB="0" distL="0" distR="0">
            <wp:extent cx="421845" cy="76676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45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9"/>
          <w:position w:val="2"/>
          <w:sz w:val="20"/>
        </w:rPr>
      </w:r>
      <w:r>
        <w:rPr>
          <w:rFonts w:ascii="Times New Roman"/>
          <w:spacing w:val="94"/>
          <w:position w:val="2"/>
          <w:sz w:val="20"/>
        </w:rPr>
        <w:t> </w:t>
      </w:r>
      <w:r>
        <w:rPr>
          <w:rFonts w:ascii="Times New Roman"/>
          <w:spacing w:val="94"/>
          <w:position w:val="1"/>
          <w:sz w:val="20"/>
        </w:rPr>
        <w:drawing>
          <wp:inline distT="0" distB="0" distL="0" distR="0">
            <wp:extent cx="417233" cy="77152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23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4"/>
          <w:position w:val="1"/>
          <w:sz w:val="20"/>
        </w:rPr>
      </w:r>
      <w:r>
        <w:rPr>
          <w:rFonts w:ascii="Times New Roman"/>
          <w:spacing w:val="89"/>
          <w:position w:val="1"/>
          <w:sz w:val="20"/>
        </w:rPr>
        <w:t> </w:t>
      </w:r>
      <w:r>
        <w:rPr>
          <w:rFonts w:ascii="Times New Roman"/>
          <w:spacing w:val="89"/>
          <w:position w:val="4"/>
          <w:sz w:val="20"/>
        </w:rPr>
        <w:drawing>
          <wp:inline distT="0" distB="0" distL="0" distR="0">
            <wp:extent cx="416925" cy="75723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25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9"/>
          <w:position w:val="4"/>
          <w:sz w:val="20"/>
        </w:rPr>
      </w:r>
      <w:r>
        <w:rPr>
          <w:rFonts w:ascii="Times New Roman"/>
          <w:spacing w:val="97"/>
          <w:position w:val="4"/>
          <w:sz w:val="20"/>
        </w:rPr>
        <w:t> </w:t>
      </w:r>
      <w:r>
        <w:rPr>
          <w:rFonts w:ascii="Times New Roman"/>
          <w:spacing w:val="97"/>
          <w:position w:val="2"/>
          <w:sz w:val="20"/>
        </w:rPr>
        <w:drawing>
          <wp:inline distT="0" distB="0" distL="0" distR="0">
            <wp:extent cx="421008" cy="771525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7"/>
          <w:position w:val="2"/>
          <w:sz w:val="20"/>
        </w:rPr>
      </w:r>
      <w:r>
        <w:rPr>
          <w:rFonts w:ascii="Times New Roman"/>
          <w:spacing w:val="87"/>
          <w:position w:val="2"/>
          <w:sz w:val="20"/>
        </w:rPr>
        <w:t> </w:t>
      </w:r>
      <w:r>
        <w:rPr>
          <w:rFonts w:ascii="Times New Roman"/>
          <w:spacing w:val="87"/>
          <w:position w:val="1"/>
          <w:sz w:val="20"/>
        </w:rPr>
        <w:drawing>
          <wp:inline distT="0" distB="0" distL="0" distR="0">
            <wp:extent cx="425607" cy="771525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07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7"/>
          <w:position w:val="1"/>
          <w:sz w:val="20"/>
        </w:rPr>
      </w:r>
      <w:r>
        <w:rPr>
          <w:rFonts w:ascii="Times New Roman"/>
          <w:spacing w:val="84"/>
          <w:position w:val="1"/>
          <w:sz w:val="20"/>
        </w:rPr>
        <w:t> </w:t>
      </w:r>
      <w:r>
        <w:rPr>
          <w:rFonts w:ascii="Times New Roman"/>
          <w:spacing w:val="84"/>
          <w:position w:val="1"/>
          <w:sz w:val="20"/>
        </w:rPr>
        <w:drawing>
          <wp:inline distT="0" distB="0" distL="0" distR="0">
            <wp:extent cx="413190" cy="771525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9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4"/>
          <w:position w:val="1"/>
          <w:sz w:val="20"/>
        </w:rPr>
      </w:r>
      <w:r>
        <w:rPr>
          <w:rFonts w:ascii="Times New Roman"/>
          <w:spacing w:val="97"/>
          <w:position w:val="1"/>
          <w:sz w:val="20"/>
        </w:rPr>
        <w:t> </w:t>
      </w:r>
      <w:r>
        <w:rPr>
          <w:rFonts w:ascii="Times New Roman"/>
          <w:spacing w:val="97"/>
          <w:position w:val="4"/>
          <w:sz w:val="20"/>
        </w:rPr>
        <w:drawing>
          <wp:inline distT="0" distB="0" distL="0" distR="0">
            <wp:extent cx="424000" cy="742950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7"/>
          <w:position w:val="4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spacing w:line="538" w:lineRule="exact"/>
        <w:ind w:left="1067" w:right="1062"/>
        <w:jc w:val="center"/>
      </w:pPr>
      <w:r>
        <w:rPr>
          <w:spacing w:val="-4"/>
          <w:w w:val="99"/>
        </w:rPr>
        <w:t>琼科规〔</w:t>
      </w:r>
      <w:r>
        <w:rPr>
          <w:spacing w:val="-163"/>
          <w:w w:val="199"/>
        </w:rPr>
        <w:t>2</w:t>
      </w:r>
      <w:r>
        <w:rPr>
          <w:spacing w:val="-161"/>
          <w:w w:val="199"/>
        </w:rPr>
        <w:t>0</w:t>
      </w:r>
      <w:r>
        <w:rPr>
          <w:rFonts w:ascii="Microsoft JhengHei" w:eastAsia="Microsoft JhengHei" w:hint="eastAsia"/>
          <w:b/>
          <w:spacing w:val="-3"/>
          <w:w w:val="167"/>
        </w:rPr>
        <w:t>2</w:t>
      </w:r>
      <w:r>
        <w:rPr>
          <w:spacing w:val="-3"/>
          <w:w w:val="99"/>
        </w:rPr>
        <w:t>〕</w:t>
      </w:r>
      <w:r>
        <w:rPr>
          <w:spacing w:val="-164"/>
          <w:w w:val="199"/>
        </w:rPr>
        <w:t>1</w:t>
      </w:r>
      <w:r>
        <w:rPr>
          <w:spacing w:val="-82"/>
          <w:w w:val="199"/>
        </w:rPr>
        <w:t>3</w:t>
      </w:r>
      <w:r>
        <w:rPr>
          <w:w w:val="99"/>
        </w:rPr>
        <w:t>号</w:t>
      </w:r>
    </w:p>
    <w:p>
      <w:pPr>
        <w:pStyle w:val="BodyText"/>
        <w:spacing w:before="3"/>
        <w:rPr>
          <w:sz w:val="8"/>
        </w:rPr>
      </w:pPr>
      <w:r>
        <w:rPr/>
        <w:pict>
          <v:shape style="position:absolute;margin-left:79.409897pt;margin-top:8.360340pt;width:442.3pt;height:.1pt;mso-position-horizontal-relative:page;mso-position-vertical-relative:paragraph;z-index:-15728640;mso-wrap-distance-left:0;mso-wrap-distance-right:0" coordorigin="1588,167" coordsize="8846,0" path="m1588,167l10433,167e" filled="false" stroked="true" strokeweight="2.16027pt" strokecolor="#ff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海南省科学技术厅关于</w:t>
      </w:r>
    </w:p>
    <w:p>
      <w:pPr>
        <w:spacing w:line="273" w:lineRule="auto" w:before="75"/>
        <w:ind w:left="1077" w:right="1062" w:firstLine="0"/>
        <w:jc w:val="center"/>
        <w:rPr>
          <w:sz w:val="44"/>
        </w:rPr>
      </w:pPr>
      <w:r>
        <w:rPr>
          <w:w w:val="95"/>
          <w:sz w:val="44"/>
        </w:rPr>
        <w:t>印发《海南省国际科技合作人才与交流项目</w:t>
      </w:r>
      <w:r>
        <w:rPr>
          <w:sz w:val="44"/>
        </w:rPr>
        <w:t>和经费管理暂行实施细则》的通知</w:t>
      </w:r>
    </w:p>
    <w:p>
      <w:pPr>
        <w:pStyle w:val="BodyText"/>
        <w:spacing w:before="385"/>
        <w:ind w:left="788"/>
      </w:pPr>
      <w:r>
        <w:rPr>
          <w:color w:val="000007"/>
        </w:rPr>
        <w:t>各有关单位</w:t>
      </w:r>
    </w:p>
    <w:p>
      <w:pPr>
        <w:pStyle w:val="BodyText"/>
        <w:spacing w:line="292" w:lineRule="auto" w:before="92"/>
        <w:ind w:left="788" w:right="759" w:firstLine="628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4278185</wp:posOffset>
            </wp:positionH>
            <wp:positionV relativeFrom="paragraph">
              <wp:posOffset>1578615</wp:posOffset>
            </wp:positionV>
            <wp:extent cx="1512189" cy="1512189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189" cy="15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7"/>
          <w:w w:val="95"/>
        </w:rPr>
        <w:t>为贯彻落实《海南省以超常规手段打赢科技创新翻身仗三年</w:t>
      </w:r>
      <w:r>
        <w:rPr>
          <w:color w:val="000007"/>
          <w:spacing w:val="1"/>
          <w:w w:val="95"/>
        </w:rPr>
        <w:t> </w:t>
      </w:r>
      <w:r>
        <w:rPr>
          <w:color w:val="000007"/>
          <w:spacing w:val="-9"/>
          <w:w w:val="99"/>
        </w:rPr>
        <w:t>行动方案</w:t>
      </w:r>
      <w:r>
        <w:rPr>
          <w:color w:val="000007"/>
          <w:spacing w:val="-5"/>
          <w:w w:val="99"/>
        </w:rPr>
        <w:t>（</w:t>
      </w:r>
      <w:r>
        <w:rPr>
          <w:color w:val="000007"/>
          <w:spacing w:val="-164"/>
          <w:w w:val="199"/>
        </w:rPr>
        <w:t>2</w:t>
      </w:r>
      <w:r>
        <w:rPr>
          <w:color w:val="000007"/>
          <w:spacing w:val="-161"/>
          <w:w w:val="199"/>
        </w:rPr>
        <w:t>021-</w:t>
      </w:r>
      <w:r>
        <w:rPr>
          <w:color w:val="000007"/>
          <w:spacing w:val="-164"/>
          <w:w w:val="199"/>
        </w:rPr>
        <w:t>2</w:t>
      </w:r>
      <w:r>
        <w:rPr>
          <w:color w:val="000007"/>
          <w:spacing w:val="-161"/>
          <w:w w:val="199"/>
        </w:rPr>
        <w:t>02</w:t>
      </w:r>
      <w:r>
        <w:rPr>
          <w:color w:val="000007"/>
          <w:spacing w:val="-79"/>
          <w:w w:val="199"/>
        </w:rPr>
        <w:t>3</w:t>
      </w:r>
      <w:r>
        <w:rPr>
          <w:color w:val="000007"/>
          <w:spacing w:val="-3"/>
          <w:w w:val="99"/>
        </w:rPr>
        <w:t>年</w:t>
      </w:r>
      <w:r>
        <w:rPr>
          <w:color w:val="000007"/>
          <w:spacing w:val="-161"/>
          <w:w w:val="99"/>
        </w:rPr>
        <w:t>）</w:t>
      </w:r>
      <w:r>
        <w:rPr>
          <w:color w:val="000007"/>
          <w:spacing w:val="-11"/>
          <w:w w:val="99"/>
        </w:rPr>
        <w:t>》和《海南省科技计划体系优化改革方</w:t>
      </w:r>
      <w:r>
        <w:rPr>
          <w:color w:val="000007"/>
          <w:w w:val="95"/>
        </w:rPr>
        <w:t>案》等文件精神，根据《海南省科技合作专项和经费管理暂行办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法》的要求，我厅制定了《海南省国际科技合作人才与交流项目</w:t>
      </w:r>
      <w:r>
        <w:rPr>
          <w:color w:val="000007"/>
          <w:spacing w:val="1"/>
          <w:w w:val="95"/>
        </w:rPr>
        <w:t> </w:t>
      </w:r>
      <w:r>
        <w:rPr>
          <w:color w:val="000007"/>
          <w:spacing w:val="-13"/>
        </w:rPr>
        <w:t>和经费管理暂行实施细则》，现予印发，请遵照执行。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23" w:lineRule="auto" w:before="77"/>
        <w:ind w:left="5932" w:right="2039" w:hanging="80"/>
      </w:pPr>
      <w:r>
        <w:rPr>
          <w:color w:val="000007"/>
          <w:spacing w:val="-4"/>
        </w:rPr>
        <w:t>海南省科学技术厅</w:t>
      </w:r>
      <w:r>
        <w:rPr>
          <w:color w:val="000007"/>
          <w:spacing w:val="-163"/>
          <w:w w:val="199"/>
        </w:rPr>
        <w:t>2</w:t>
      </w:r>
      <w:r>
        <w:rPr>
          <w:color w:val="000007"/>
          <w:spacing w:val="-161"/>
          <w:w w:val="199"/>
        </w:rPr>
        <w:t>0</w:t>
      </w:r>
      <w:r>
        <w:rPr>
          <w:rFonts w:ascii="Microsoft JhengHei" w:eastAsia="Microsoft JhengHei" w:hint="eastAsia"/>
          <w:b/>
          <w:color w:val="000007"/>
          <w:w w:val="167"/>
        </w:rPr>
        <w:t>2</w:t>
      </w:r>
      <w:r>
        <w:rPr>
          <w:rFonts w:ascii="Microsoft JhengHei" w:eastAsia="Microsoft JhengHei" w:hint="eastAsia"/>
          <w:b/>
          <w:color w:val="000007"/>
          <w:spacing w:val="-3"/>
        </w:rPr>
        <w:t> </w:t>
      </w:r>
      <w:r>
        <w:rPr>
          <w:color w:val="000007"/>
          <w:w w:val="99"/>
        </w:rPr>
        <w:t>年</w:t>
      </w:r>
      <w:r>
        <w:rPr>
          <w:color w:val="000007"/>
          <w:spacing w:val="-83"/>
        </w:rPr>
        <w:t> </w:t>
      </w:r>
      <w:r>
        <w:rPr>
          <w:color w:val="000007"/>
          <w:spacing w:val="-82"/>
          <w:w w:val="199"/>
        </w:rPr>
        <w:t>3</w:t>
      </w:r>
      <w:r>
        <w:rPr>
          <w:color w:val="000007"/>
          <w:w w:val="99"/>
        </w:rPr>
        <w:t>月</w:t>
      </w:r>
      <w:r>
        <w:rPr>
          <w:color w:val="000007"/>
          <w:spacing w:val="-86"/>
        </w:rPr>
        <w:t> </w:t>
      </w:r>
      <w:r>
        <w:rPr>
          <w:color w:val="000007"/>
          <w:spacing w:val="-163"/>
          <w:w w:val="199"/>
        </w:rPr>
        <w:t>3</w:t>
      </w:r>
      <w:r>
        <w:rPr>
          <w:color w:val="000007"/>
          <w:spacing w:val="-80"/>
          <w:w w:val="199"/>
        </w:rPr>
        <w:t>1</w:t>
      </w:r>
      <w:r>
        <w:rPr>
          <w:color w:val="000007"/>
          <w:spacing w:val="-15"/>
          <w:w w:val="99"/>
        </w:rPr>
        <w:t>日</w:t>
      </w:r>
    </w:p>
    <w:p>
      <w:pPr>
        <w:pStyle w:val="BodyText"/>
        <w:spacing w:before="9"/>
        <w:ind w:left="1417"/>
      </w:pPr>
      <w:r>
        <w:rPr>
          <w:color w:val="000007"/>
        </w:rPr>
        <w:t>（此件主动公开）</w:t>
      </w:r>
    </w:p>
    <w:p>
      <w:pPr>
        <w:spacing w:after="0"/>
        <w:sectPr>
          <w:footerReference w:type="default" r:id="rId5"/>
          <w:footerReference w:type="even" r:id="rId6"/>
          <w:type w:val="continuous"/>
          <w:pgSz w:w="11910" w:h="16840"/>
          <w:pgMar w:footer="1527" w:top="1580" w:bottom="1700" w:left="800" w:right="6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spacing w:line="297" w:lineRule="auto" w:before="38"/>
        <w:ind w:left="1732" w:right="1715"/>
      </w:pPr>
      <w:r>
        <w:rPr>
          <w:color w:val="000007"/>
          <w:w w:val="95"/>
        </w:rPr>
        <w:t>海南省国际科技合作人才与交流项目</w:t>
      </w:r>
      <w:r>
        <w:rPr>
          <w:color w:val="000007"/>
        </w:rPr>
        <w:t>和经费管理暂行实施细则</w:t>
      </w:r>
    </w:p>
    <w:p>
      <w:pPr>
        <w:pStyle w:val="BodyText"/>
        <w:spacing w:before="11"/>
        <w:rPr>
          <w:sz w:val="41"/>
        </w:rPr>
      </w:pPr>
    </w:p>
    <w:p>
      <w:pPr>
        <w:pStyle w:val="BodyText"/>
        <w:ind w:left="1067" w:right="1062"/>
        <w:jc w:val="center"/>
        <w:rPr>
          <w:rFonts w:ascii="黑体" w:eastAsia="黑体" w:hint="eastAsia"/>
        </w:rPr>
      </w:pPr>
      <w:r>
        <w:rPr>
          <w:rFonts w:ascii="黑体" w:eastAsia="黑体" w:hint="eastAsia"/>
          <w:color w:val="000007"/>
          <w:spacing w:val="23"/>
        </w:rPr>
        <w:t>第一章 总则</w:t>
      </w:r>
    </w:p>
    <w:p>
      <w:pPr>
        <w:pStyle w:val="BodyText"/>
        <w:spacing w:line="540" w:lineRule="exact" w:before="18"/>
        <w:ind w:left="788" w:right="599" w:firstLine="628"/>
      </w:pPr>
      <w:r>
        <w:rPr>
          <w:rFonts w:ascii="Microsoft JhengHei" w:hAnsi="Microsoft JhengHei" w:eastAsia="Microsoft JhengHei" w:hint="eastAsia"/>
          <w:b/>
          <w:color w:val="000007"/>
          <w:spacing w:val="9"/>
        </w:rPr>
        <w:t>第一条 </w:t>
      </w:r>
      <w:r>
        <w:rPr>
          <w:color w:val="000007"/>
          <w:spacing w:val="-4"/>
        </w:rPr>
        <w:t>为贯彻落实《海南省 十四五”科技创新规划》《海</w:t>
      </w:r>
      <w:r>
        <w:rPr>
          <w:color w:val="000007"/>
          <w:spacing w:val="-10"/>
          <w:w w:val="99"/>
        </w:rPr>
        <w:t>南省以超常规手段打赢科技创新翻身仗三年行动方案</w:t>
      </w:r>
      <w:r>
        <w:rPr>
          <w:color w:val="000007"/>
          <w:spacing w:val="-3"/>
          <w:w w:val="99"/>
        </w:rPr>
        <w:t>（</w:t>
      </w:r>
      <w:r>
        <w:rPr>
          <w:color w:val="000007"/>
          <w:spacing w:val="-164"/>
          <w:w w:val="199"/>
        </w:rPr>
        <w:t>2</w:t>
      </w:r>
      <w:r>
        <w:rPr>
          <w:color w:val="000007"/>
          <w:spacing w:val="-161"/>
          <w:w w:val="199"/>
        </w:rPr>
        <w:t>021-</w:t>
      </w:r>
      <w:r>
        <w:rPr>
          <w:color w:val="000007"/>
          <w:spacing w:val="-164"/>
          <w:w w:val="199"/>
        </w:rPr>
        <w:t>2</w:t>
      </w:r>
      <w:r>
        <w:rPr>
          <w:color w:val="000007"/>
          <w:spacing w:val="-161"/>
          <w:w w:val="199"/>
        </w:rPr>
        <w:t>0</w:t>
      </w:r>
      <w:r>
        <w:rPr>
          <w:color w:val="000007"/>
          <w:spacing w:val="-159"/>
          <w:w w:val="199"/>
        </w:rPr>
        <w:t>2</w:t>
      </w:r>
      <w:r>
        <w:rPr>
          <w:color w:val="000007"/>
          <w:w w:val="199"/>
        </w:rPr>
        <w:t>3</w:t>
      </w:r>
      <w:r>
        <w:rPr>
          <w:color w:val="000007"/>
        </w:rPr>
        <w:t>年）》和《海南省科技计划体系优化改革方案》等文件精神，根据《海南省科技合作专项和经费管理暂行办法》的要求，参照</w:t>
      </w:r>
      <w:r>
        <w:rPr/>
        <w:t>科技部</w:t>
      </w:r>
      <w:r>
        <w:rPr>
          <w:color w:val="000007"/>
        </w:rPr>
        <w:t>《国家外国专家项目和经费管理办法》等有关规定，结合海南省实际，制定本细则</w:t>
      </w:r>
    </w:p>
    <w:p>
      <w:pPr>
        <w:pStyle w:val="BodyText"/>
        <w:spacing w:line="540" w:lineRule="exact"/>
        <w:ind w:left="788" w:right="762" w:firstLine="628"/>
        <w:jc w:val="both"/>
      </w:pPr>
      <w:r>
        <w:rPr>
          <w:rFonts w:ascii="Microsoft JhengHei" w:hAnsi="Microsoft JhengHei" w:eastAsia="Microsoft JhengHei" w:hint="eastAsia"/>
          <w:b/>
          <w:color w:val="000007"/>
          <w:spacing w:val="17"/>
        </w:rPr>
        <w:t>第二条 </w:t>
      </w:r>
      <w:r>
        <w:rPr>
          <w:color w:val="000007"/>
        </w:rPr>
        <w:t>本细则所称国际科技合作人才与交流项目（以下简</w:t>
      </w:r>
      <w:r>
        <w:rPr>
          <w:color w:val="000007"/>
          <w:w w:val="99"/>
        </w:rPr>
        <w:t>称</w:t>
      </w:r>
      <w:r>
        <w:rPr>
          <w:color w:val="000007"/>
          <w:spacing w:val="-4"/>
        </w:rPr>
        <w:t>  </w:t>
      </w:r>
      <w:r>
        <w:rPr>
          <w:color w:val="000007"/>
          <w:spacing w:val="-23"/>
          <w:w w:val="99"/>
        </w:rPr>
        <w:t>人才与交流项目”</w:t>
      </w:r>
      <w:r>
        <w:rPr>
          <w:color w:val="000007"/>
          <w:w w:val="99"/>
        </w:rPr>
        <w:t>）</w:t>
      </w:r>
      <w:r>
        <w:rPr>
          <w:color w:val="000007"/>
          <w:spacing w:val="-4"/>
        </w:rPr>
        <w:t> </w:t>
      </w:r>
      <w:r>
        <w:rPr>
          <w:color w:val="000007"/>
          <w:spacing w:val="-3"/>
          <w:w w:val="99"/>
        </w:rPr>
        <w:t>包括外国专家项目、活动与人员交流项</w:t>
      </w:r>
      <w:r>
        <w:rPr>
          <w:color w:val="000007"/>
        </w:rPr>
        <w:t>目等。</w:t>
      </w:r>
    </w:p>
    <w:p>
      <w:pPr>
        <w:pStyle w:val="BodyText"/>
        <w:spacing w:line="316" w:lineRule="auto" w:before="113"/>
        <w:ind w:left="788" w:right="762" w:firstLine="628"/>
        <w:jc w:val="both"/>
      </w:pPr>
      <w:r>
        <w:rPr>
          <w:color w:val="000007"/>
          <w:w w:val="95"/>
        </w:rPr>
        <w:t>外国专家项目是指根据我省需要设立的，资助外国专家来琼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开展科研、技术咨询、产品研发、学科建设、学术交流、成果转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化、管理服务等活动的项目</w:t>
      </w:r>
    </w:p>
    <w:p>
      <w:pPr>
        <w:pStyle w:val="BodyText"/>
        <w:spacing w:line="316" w:lineRule="auto"/>
        <w:ind w:left="788" w:right="764" w:firstLine="628"/>
      </w:pPr>
      <w:r>
        <w:rPr>
          <w:color w:val="000007"/>
          <w:w w:val="95"/>
        </w:rPr>
        <w:t>活动与人员交流项目是指在我省举办的各类国际科技交流</w:t>
      </w:r>
      <w:r>
        <w:rPr>
          <w:color w:val="000007"/>
          <w:spacing w:val="23"/>
          <w:w w:val="95"/>
        </w:rPr>
        <w:t> </w:t>
      </w:r>
      <w:r>
        <w:rPr>
          <w:color w:val="000007"/>
        </w:rPr>
        <w:t>会、洽谈会和论坛等活动项目，分为重点活动和一般活动</w:t>
      </w:r>
    </w:p>
    <w:p>
      <w:pPr>
        <w:pStyle w:val="BodyText"/>
        <w:spacing w:before="8"/>
        <w:rPr>
          <w:sz w:val="41"/>
        </w:rPr>
      </w:pPr>
    </w:p>
    <w:p>
      <w:pPr>
        <w:pStyle w:val="BodyText"/>
        <w:spacing w:before="1"/>
        <w:ind w:left="1067" w:right="1062"/>
        <w:jc w:val="center"/>
        <w:rPr>
          <w:rFonts w:ascii="黑体" w:eastAsia="黑体" w:hint="eastAsia"/>
        </w:rPr>
      </w:pPr>
      <w:r>
        <w:rPr>
          <w:rFonts w:ascii="黑体" w:eastAsia="黑体" w:hint="eastAsia"/>
          <w:color w:val="000007"/>
          <w:spacing w:val="13"/>
        </w:rPr>
        <w:t>第二章 机构与职责</w:t>
      </w:r>
    </w:p>
    <w:p>
      <w:pPr>
        <w:pStyle w:val="BodyText"/>
        <w:spacing w:line="540" w:lineRule="exact" w:before="18"/>
        <w:ind w:left="788" w:right="762" w:firstLine="628"/>
        <w:jc w:val="both"/>
      </w:pPr>
      <w:r>
        <w:rPr>
          <w:rFonts w:ascii="Microsoft JhengHei" w:hAnsi="Microsoft JhengHei" w:eastAsia="Microsoft JhengHei" w:hint="eastAsia"/>
          <w:b/>
          <w:color w:val="000007"/>
          <w:spacing w:val="3"/>
        </w:rPr>
        <w:t>第三条 </w:t>
      </w:r>
      <w:r>
        <w:rPr>
          <w:color w:val="000007"/>
          <w:spacing w:val="-2"/>
        </w:rPr>
        <w:t>海南省科学技术厅（以下简称 省科技厅”）</w:t>
      </w:r>
      <w:r>
        <w:rPr>
          <w:color w:val="000007"/>
          <w:spacing w:val="-1"/>
        </w:rPr>
        <w:t>是人才</w:t>
      </w:r>
      <w:r>
        <w:rPr>
          <w:color w:val="000007"/>
          <w:w w:val="95"/>
        </w:rPr>
        <w:t>与交流项目的组织管理部门，负责组织或委托专业化机构开展项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目征集、评审立项、过程管理和财务决算、专项审计等，对项目</w:t>
      </w:r>
    </w:p>
    <w:p>
      <w:pPr>
        <w:spacing w:after="0" w:line="540" w:lineRule="exact"/>
        <w:jc w:val="both"/>
        <w:sectPr>
          <w:pgSz w:w="11910" w:h="16840"/>
          <w:pgMar w:header="0" w:footer="1510" w:top="1580" w:bottom="1720" w:left="8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4" w:lineRule="auto" w:before="54"/>
        <w:ind w:left="1417" w:right="769" w:hanging="629"/>
      </w:pPr>
      <w:r>
        <w:rPr>
          <w:color w:val="000007"/>
          <w:spacing w:val="-6"/>
        </w:rPr>
        <w:t>实施和资金使用情况进展指导、监督和检查 开展绩效评价工作</w:t>
      </w:r>
      <w:r>
        <w:rPr>
          <w:rFonts w:ascii="Microsoft JhengHei" w:eastAsia="Microsoft JhengHei" w:hint="eastAsia"/>
          <w:b/>
          <w:color w:val="000007"/>
          <w:spacing w:val="13"/>
        </w:rPr>
        <w:t>第四条 </w:t>
      </w:r>
      <w:r>
        <w:rPr>
          <w:color w:val="000007"/>
        </w:rPr>
        <w:t>专业化机构是承担项目评审和财务决算、专项审计</w:t>
      </w:r>
    </w:p>
    <w:p>
      <w:pPr>
        <w:pStyle w:val="BodyText"/>
        <w:spacing w:line="316" w:lineRule="auto" w:before="22"/>
        <w:ind w:left="788" w:right="762"/>
      </w:pPr>
      <w:r>
        <w:rPr>
          <w:color w:val="000007"/>
          <w:w w:val="95"/>
        </w:rPr>
        <w:t>等具体工作的机构，负责受理项目申报、评审和财务决算等；开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展评审专家遴选</w:t>
      </w:r>
    </w:p>
    <w:p>
      <w:pPr>
        <w:pStyle w:val="BodyText"/>
        <w:spacing w:line="481" w:lineRule="exact"/>
        <w:ind w:left="1417"/>
      </w:pPr>
      <w:r>
        <w:rPr>
          <w:rFonts w:ascii="Microsoft JhengHei" w:eastAsia="Microsoft JhengHei" w:hint="eastAsia"/>
          <w:b/>
          <w:color w:val="000007"/>
          <w:spacing w:val="11"/>
        </w:rPr>
        <w:t>第五条 </w:t>
      </w:r>
      <w:r>
        <w:rPr>
          <w:color w:val="000007"/>
        </w:rPr>
        <w:t>项目单位是项目实施、资金使用和管理的责任主体</w:t>
      </w:r>
    </w:p>
    <w:p>
      <w:pPr>
        <w:pStyle w:val="BodyText"/>
        <w:spacing w:line="316" w:lineRule="auto" w:before="58"/>
        <w:ind w:left="788" w:right="603"/>
      </w:pPr>
      <w:r>
        <w:rPr>
          <w:color w:val="000007"/>
        </w:rPr>
        <w:t>负责项目的组织实施 强化法人责任 规范资金管理 接受指导、检查，并配合做好审计、监督、评估等工作；其中，承担外国专家项目的项目单位需按要求编报项目总结报告（财务报告）、成果报告等；按照规定管理和使用项目经费，提供协调保障支撑</w:t>
      </w:r>
      <w:r>
        <w:rPr>
          <w:color w:val="000007"/>
          <w:spacing w:val="1"/>
        </w:rPr>
        <w:t> </w:t>
      </w:r>
      <w:r>
        <w:rPr>
          <w:color w:val="000007"/>
        </w:rPr>
        <w:t>推动项目执行</w:t>
      </w:r>
    </w:p>
    <w:p>
      <w:pPr>
        <w:pStyle w:val="BodyText"/>
        <w:spacing w:before="8"/>
        <w:rPr>
          <w:sz w:val="41"/>
        </w:rPr>
      </w:pPr>
    </w:p>
    <w:p>
      <w:pPr>
        <w:pStyle w:val="BodyText"/>
        <w:spacing w:before="1"/>
        <w:ind w:left="1069" w:right="1062"/>
        <w:jc w:val="center"/>
        <w:rPr>
          <w:rFonts w:ascii="黑体" w:eastAsia="黑体" w:hint="eastAsia"/>
        </w:rPr>
      </w:pPr>
      <w:r>
        <w:rPr>
          <w:rFonts w:ascii="黑体" w:eastAsia="黑体" w:hint="eastAsia"/>
          <w:color w:val="000007"/>
          <w:spacing w:val="7"/>
        </w:rPr>
        <w:t>第三章 项目申报及评审立项</w:t>
      </w:r>
    </w:p>
    <w:p>
      <w:pPr>
        <w:pStyle w:val="BodyText"/>
        <w:spacing w:line="540" w:lineRule="exact" w:before="18"/>
        <w:ind w:left="788" w:right="762" w:firstLine="628"/>
        <w:jc w:val="both"/>
      </w:pPr>
      <w:r>
        <w:rPr>
          <w:rFonts w:ascii="Microsoft JhengHei" w:eastAsia="Microsoft JhengHei" w:hint="eastAsia"/>
          <w:b/>
          <w:color w:val="000007"/>
          <w:spacing w:val="16"/>
        </w:rPr>
        <w:t>第六条 </w:t>
      </w:r>
      <w:r>
        <w:rPr>
          <w:color w:val="000007"/>
        </w:rPr>
        <w:t>省科技厅于每年上半年编制下发申报指南，明确申</w:t>
      </w:r>
      <w:r>
        <w:rPr>
          <w:color w:val="000007"/>
          <w:w w:val="95"/>
        </w:rPr>
        <w:t>报流程、申报条件、实施年限、支持领域和材料要求等事项。其</w:t>
      </w:r>
      <w:r>
        <w:rPr>
          <w:color w:val="000007"/>
          <w:spacing w:val="1"/>
          <w:w w:val="95"/>
        </w:rPr>
        <w:t> </w:t>
      </w:r>
      <w:r>
        <w:rPr>
          <w:color w:val="000007"/>
          <w:spacing w:val="-8"/>
        </w:rPr>
        <w:t>中，外国专家项目资助期限原则上最长为 </w:t>
      </w:r>
      <w:r>
        <w:rPr>
          <w:color w:val="000007"/>
          <w:spacing w:val="-82"/>
          <w:w w:val="180"/>
        </w:rPr>
        <w:t>2</w:t>
      </w:r>
      <w:r>
        <w:rPr>
          <w:color w:val="000007"/>
          <w:spacing w:val="-2"/>
        </w:rPr>
        <w:t>年</w:t>
      </w:r>
    </w:p>
    <w:p>
      <w:pPr>
        <w:pStyle w:val="BodyText"/>
        <w:spacing w:line="540" w:lineRule="exact"/>
        <w:ind w:left="788" w:right="762" w:firstLine="628"/>
        <w:jc w:val="both"/>
      </w:pPr>
      <w:r>
        <w:rPr>
          <w:rFonts w:ascii="Microsoft JhengHei" w:eastAsia="Microsoft JhengHei" w:hint="eastAsia"/>
          <w:b/>
          <w:color w:val="000007"/>
          <w:spacing w:val="17"/>
        </w:rPr>
        <w:t>第七条 </w:t>
      </w:r>
      <w:r>
        <w:rPr>
          <w:color w:val="000007"/>
        </w:rPr>
        <w:t>申报单位按要求在海南省科技业务综合管理系统上</w:t>
      </w:r>
      <w:r>
        <w:rPr>
          <w:color w:val="000007"/>
          <w:w w:val="95"/>
        </w:rPr>
        <w:t>填报申请材料。材料齐全的予以受理；不齐全的一次性反馈申报</w:t>
      </w:r>
      <w:r>
        <w:rPr>
          <w:color w:val="000007"/>
          <w:spacing w:val="1"/>
          <w:w w:val="95"/>
        </w:rPr>
        <w:t> </w:t>
      </w:r>
      <w:r>
        <w:rPr>
          <w:color w:val="000007"/>
          <w:spacing w:val="38"/>
        </w:rPr>
        <w:t>单位 </w:t>
      </w:r>
      <w:r>
        <w:rPr>
          <w:color w:val="000007"/>
          <w:spacing w:val="-82"/>
          <w:w w:val="180"/>
        </w:rPr>
        <w:t>5</w:t>
      </w:r>
      <w:r>
        <w:rPr>
          <w:color w:val="000007"/>
        </w:rPr>
        <w:t>个法定工作日内申报单位须补充完整，否则不予受理</w:t>
      </w:r>
    </w:p>
    <w:p>
      <w:pPr>
        <w:pStyle w:val="BodyText"/>
        <w:spacing w:line="540" w:lineRule="exact"/>
        <w:ind w:left="788" w:right="762" w:firstLine="628"/>
        <w:jc w:val="both"/>
      </w:pPr>
      <w:r>
        <w:rPr>
          <w:rFonts w:ascii="Microsoft JhengHei" w:eastAsia="Microsoft JhengHei" w:hint="eastAsia"/>
          <w:b/>
          <w:color w:val="000007"/>
          <w:spacing w:val="17"/>
        </w:rPr>
        <w:t>第八条 </w:t>
      </w:r>
      <w:r>
        <w:rPr>
          <w:color w:val="000007"/>
        </w:rPr>
        <w:t>申报单位应为在我省依法注册、具有独立法人资格</w:t>
      </w:r>
      <w:r>
        <w:rPr>
          <w:color w:val="000007"/>
          <w:w w:val="95"/>
        </w:rPr>
        <w:t>的企业、科研院所、高等院校等，未被列入异常经营名录和失信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被执行人名单</w:t>
      </w:r>
    </w:p>
    <w:p>
      <w:pPr>
        <w:pStyle w:val="BodyText"/>
        <w:spacing w:line="316" w:lineRule="auto" w:before="112"/>
        <w:ind w:left="788" w:right="762" w:firstLine="628"/>
      </w:pPr>
      <w:r>
        <w:rPr>
          <w:color w:val="000007"/>
          <w:w w:val="95"/>
        </w:rPr>
        <w:t>申报外国专家项目应明确项目负责人。项目负责人应为项目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申报单位正式人员，并具有领导和组织开展聘专工作的能力。项</w:t>
      </w:r>
    </w:p>
    <w:p>
      <w:pPr>
        <w:spacing w:after="0" w:line="316" w:lineRule="auto"/>
        <w:sectPr>
          <w:pgSz w:w="11910" w:h="16840"/>
          <w:pgMar w:header="0" w:footer="1527" w:top="1580" w:bottom="1700" w:left="8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16" w:lineRule="auto" w:before="54"/>
        <w:ind w:left="788" w:right="762"/>
      </w:pPr>
      <w:r>
        <w:rPr>
          <w:color w:val="000007"/>
          <w:w w:val="95"/>
        </w:rPr>
        <w:t>目负责人对项目的组织申报、推动实施、经费使用和成果绩效等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工作负直接责任</w:t>
      </w:r>
    </w:p>
    <w:p>
      <w:pPr>
        <w:pStyle w:val="BodyText"/>
        <w:spacing w:line="316" w:lineRule="auto"/>
        <w:ind w:left="788" w:right="606" w:firstLine="628"/>
      </w:pPr>
      <w:r>
        <w:rPr>
          <w:color w:val="000007"/>
          <w:spacing w:val="-8"/>
          <w:w w:val="95"/>
        </w:rPr>
        <w:t>申报活动与人员交流项目应提交举办活动批文、合同</w:t>
      </w:r>
      <w:r>
        <w:rPr>
          <w:color w:val="000007"/>
          <w:w w:val="95"/>
        </w:rPr>
        <w:t>（协议）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等依据文件；项目支出的费用清单、支出单据等以及所涉及的相关合同（协议）；活动交流照片、签到表、总结报告以及其他活动相关材料等佐证材料</w:t>
      </w:r>
    </w:p>
    <w:p>
      <w:pPr>
        <w:pStyle w:val="BodyText"/>
        <w:spacing w:line="478" w:lineRule="exact"/>
        <w:ind w:left="1417"/>
      </w:pPr>
      <w:r>
        <w:rPr>
          <w:rFonts w:ascii="Microsoft JhengHei" w:eastAsia="Microsoft JhengHei" w:hint="eastAsia"/>
          <w:b/>
          <w:color w:val="000007"/>
          <w:spacing w:val="15"/>
        </w:rPr>
        <w:t>第九条 </w:t>
      </w:r>
      <w:r>
        <w:rPr>
          <w:color w:val="000007"/>
          <w:spacing w:val="15"/>
        </w:rPr>
        <w:t>省科技厅组织或委托专业化机构组织相关领域专</w:t>
      </w:r>
    </w:p>
    <w:p>
      <w:pPr>
        <w:pStyle w:val="BodyText"/>
        <w:spacing w:line="316" w:lineRule="auto" w:before="55"/>
        <w:ind w:left="788" w:right="764"/>
        <w:jc w:val="both"/>
      </w:pPr>
      <w:r>
        <w:rPr>
          <w:color w:val="000007"/>
        </w:rPr>
        <w:t>家，对项目立项进行评审 立项评审一般包括形式审查、专家评审、行政审定等 两审一定”程序。必要时，可组织专家进行现场核查</w:t>
      </w:r>
    </w:p>
    <w:p>
      <w:pPr>
        <w:pStyle w:val="BodyText"/>
        <w:spacing w:line="479" w:lineRule="exact"/>
        <w:ind w:left="1417"/>
      </w:pPr>
      <w:r>
        <w:rPr>
          <w:rFonts w:ascii="Microsoft JhengHei" w:eastAsia="Microsoft JhengHei" w:hint="eastAsia"/>
          <w:b/>
          <w:color w:val="000007"/>
          <w:spacing w:val="38"/>
        </w:rPr>
        <w:t>第十条 </w:t>
      </w:r>
      <w:r>
        <w:rPr>
          <w:color w:val="000007"/>
        </w:rPr>
        <w:t>根据本细则和申报指南要求，对项目申报材料的规</w:t>
      </w:r>
    </w:p>
    <w:p>
      <w:pPr>
        <w:pStyle w:val="BodyText"/>
        <w:spacing w:line="316" w:lineRule="auto" w:before="58"/>
        <w:ind w:left="788" w:right="762"/>
      </w:pPr>
      <w:r>
        <w:rPr>
          <w:color w:val="000007"/>
        </w:rPr>
        <w:t>范性、项目单位或项目负责人的诚信记录等内容进行形式审查</w:t>
      </w:r>
      <w:r>
        <w:rPr>
          <w:color w:val="000007"/>
          <w:w w:val="95"/>
        </w:rPr>
        <w:t>审查结果经审定后在省科技厅门户网站上公示。完成公示后，结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果通过海南省科技业务综合管理系统反馈项目申报单位，结果为</w:t>
      </w:r>
    </w:p>
    <w:p>
      <w:pPr>
        <w:pStyle w:val="BodyText"/>
        <w:spacing w:line="407" w:lineRule="exact"/>
        <w:ind w:left="1103"/>
      </w:pPr>
      <w:r>
        <w:rPr>
          <w:color w:val="000007"/>
        </w:rPr>
        <w:t>通过”的项目进入专家评审环节</w:t>
      </w:r>
    </w:p>
    <w:p>
      <w:pPr>
        <w:pStyle w:val="BodyText"/>
        <w:spacing w:line="540" w:lineRule="exact" w:before="18"/>
        <w:ind w:left="788" w:right="762" w:firstLine="628"/>
        <w:jc w:val="both"/>
      </w:pPr>
      <w:r>
        <w:rPr>
          <w:rFonts w:ascii="Microsoft JhengHei" w:eastAsia="Microsoft JhengHei" w:hint="eastAsia"/>
          <w:b/>
          <w:color w:val="000007"/>
          <w:spacing w:val="13"/>
        </w:rPr>
        <w:t>第十一条 </w:t>
      </w:r>
      <w:r>
        <w:rPr>
          <w:color w:val="000007"/>
          <w:spacing w:val="-8"/>
        </w:rPr>
        <w:t>专家评审组由 </w:t>
      </w:r>
      <w:r>
        <w:rPr>
          <w:color w:val="000007"/>
          <w:spacing w:val="-75"/>
          <w:w w:val="180"/>
        </w:rPr>
        <w:t>3</w:t>
      </w:r>
      <w:r>
        <w:rPr>
          <w:color w:val="000007"/>
        </w:rPr>
        <w:t>名及以上单数的同领域技术专家</w:t>
      </w:r>
      <w:r>
        <w:rPr>
          <w:color w:val="000007"/>
          <w:spacing w:val="-45"/>
        </w:rPr>
        <w:t>和 </w:t>
      </w:r>
      <w:r>
        <w:rPr>
          <w:color w:val="000007"/>
          <w:spacing w:val="-80"/>
          <w:w w:val="180"/>
        </w:rPr>
        <w:t>2</w:t>
      </w:r>
      <w:r>
        <w:rPr>
          <w:color w:val="000007"/>
          <w:spacing w:val="-3"/>
        </w:rPr>
        <w:t>名及以上财务专家对项目进行评审。评审方式分为会议评审</w:t>
      </w:r>
      <w:r>
        <w:rPr>
          <w:color w:val="000007"/>
          <w:w w:val="95"/>
        </w:rPr>
        <w:t>或通讯评审，根据实际情况选择其一进行评审。专家评审组对项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目立项必要性、主要任务、成效和经费预算或支出等内容做出评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审意见</w:t>
      </w:r>
    </w:p>
    <w:p>
      <w:pPr>
        <w:pStyle w:val="BodyText"/>
        <w:spacing w:line="540" w:lineRule="exact"/>
        <w:ind w:left="788" w:right="762" w:firstLine="628"/>
        <w:jc w:val="both"/>
      </w:pPr>
      <w:r>
        <w:rPr>
          <w:rFonts w:ascii="Microsoft JhengHei" w:eastAsia="Microsoft JhengHei" w:hint="eastAsia"/>
          <w:b/>
          <w:color w:val="000007"/>
          <w:spacing w:val="5"/>
        </w:rPr>
        <w:t>第十二条 </w:t>
      </w:r>
      <w:r>
        <w:rPr>
          <w:color w:val="000007"/>
        </w:rPr>
        <w:t>省科技厅根据专业化机构评审报告 按照立项原</w:t>
      </w:r>
      <w:r>
        <w:rPr>
          <w:color w:val="000007"/>
          <w:w w:val="95"/>
        </w:rPr>
        <w:t>则和资助标准，研究审定拟资助项目和资助金额，在省科技厅门</w:t>
      </w:r>
      <w:r>
        <w:rPr>
          <w:color w:val="000007"/>
          <w:spacing w:val="1"/>
          <w:w w:val="95"/>
        </w:rPr>
        <w:t> </w:t>
      </w:r>
      <w:r>
        <w:rPr>
          <w:color w:val="000007"/>
          <w:spacing w:val="-10"/>
        </w:rPr>
        <w:t>户网站上公示，公示期为 </w:t>
      </w:r>
      <w:r>
        <w:rPr>
          <w:color w:val="000007"/>
          <w:spacing w:val="-82"/>
          <w:w w:val="180"/>
        </w:rPr>
        <w:t>5</w:t>
      </w:r>
      <w:r>
        <w:rPr>
          <w:color w:val="000007"/>
          <w:spacing w:val="-2"/>
        </w:rPr>
        <w:t>个法定工作日。完成公示后 发布项</w:t>
      </w:r>
    </w:p>
    <w:p>
      <w:pPr>
        <w:spacing w:after="0" w:line="540" w:lineRule="exact"/>
        <w:jc w:val="both"/>
        <w:sectPr>
          <w:pgSz w:w="11910" w:h="16840"/>
          <w:pgMar w:header="0" w:footer="1510" w:top="1580" w:bottom="1720" w:left="8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54"/>
        <w:ind w:left="788"/>
      </w:pPr>
      <w:r>
        <w:rPr>
          <w:color w:val="000007"/>
        </w:rPr>
        <w:t>目立项通知。</w:t>
      </w:r>
    </w:p>
    <w:p>
      <w:pPr>
        <w:pStyle w:val="BodyText"/>
        <w:spacing w:line="540" w:lineRule="exact" w:before="19"/>
        <w:ind w:left="788" w:right="762" w:firstLine="628"/>
        <w:jc w:val="both"/>
      </w:pPr>
      <w:r>
        <w:rPr>
          <w:rFonts w:ascii="Microsoft JhengHei" w:eastAsia="Microsoft JhengHei" w:hint="eastAsia"/>
          <w:b/>
          <w:color w:val="000007"/>
          <w:spacing w:val="12"/>
        </w:rPr>
        <w:t>第十三条 </w:t>
      </w:r>
      <w:r>
        <w:rPr>
          <w:color w:val="000007"/>
        </w:rPr>
        <w:t>人才与交流项目原则上公开择优立项。对我省科</w:t>
      </w:r>
      <w:r>
        <w:rPr>
          <w:color w:val="000007"/>
          <w:w w:val="95"/>
        </w:rPr>
        <w:t>技创新领域的重点项目、平台和基地申报的外国专家项目，可根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据需要采用定向委托等方式征集项目。定向委托方式按程序采取</w:t>
      </w:r>
    </w:p>
    <w:p>
      <w:pPr>
        <w:pStyle w:val="BodyText"/>
        <w:spacing w:before="112"/>
        <w:ind w:left="1103"/>
      </w:pPr>
      <w:r>
        <w:rPr>
          <w:color w:val="000007"/>
        </w:rPr>
        <w:t>一事一报”方式立项</w:t>
      </w:r>
    </w:p>
    <w:p>
      <w:pPr>
        <w:pStyle w:val="BodyText"/>
        <w:spacing w:line="259" w:lineRule="auto" w:before="24"/>
        <w:ind w:left="788" w:right="762" w:firstLine="628"/>
      </w:pPr>
      <w:r>
        <w:rPr>
          <w:rFonts w:ascii="Microsoft JhengHei" w:eastAsia="Microsoft JhengHei" w:hint="eastAsia"/>
          <w:b/>
          <w:color w:val="000007"/>
          <w:spacing w:val="11"/>
        </w:rPr>
        <w:t>第十四条 </w:t>
      </w:r>
      <w:r>
        <w:rPr>
          <w:color w:val="000007"/>
        </w:rPr>
        <w:t>对于外国专家项目 项目单位依据指南申报项目</w:t>
      </w:r>
      <w:r>
        <w:rPr>
          <w:color w:val="000007"/>
          <w:w w:val="95"/>
        </w:rPr>
        <w:t>提出聘专需求和经费申请，对经评审立项的外国专家项目，资助</w:t>
      </w:r>
      <w:r>
        <w:rPr>
          <w:color w:val="000007"/>
          <w:spacing w:val="1"/>
          <w:w w:val="95"/>
        </w:rPr>
        <w:t> </w:t>
      </w:r>
      <w:r>
        <w:rPr>
          <w:color w:val="000007"/>
          <w:spacing w:val="-5"/>
          <w:w w:val="99"/>
        </w:rPr>
        <w:t>金额不超过</w:t>
      </w:r>
      <w:r>
        <w:rPr>
          <w:color w:val="000007"/>
          <w:spacing w:val="-164"/>
          <w:w w:val="199"/>
        </w:rPr>
        <w:t>1</w:t>
      </w:r>
      <w:r>
        <w:rPr>
          <w:rFonts w:ascii="Microsoft JhengHei" w:eastAsia="Microsoft JhengHei" w:hint="eastAsia"/>
          <w:b/>
          <w:color w:val="000007"/>
          <w:spacing w:val="-3"/>
          <w:w w:val="167"/>
        </w:rPr>
        <w:t>0</w:t>
      </w:r>
      <w:r>
        <w:rPr>
          <w:color w:val="000007"/>
          <w:w w:val="99"/>
        </w:rPr>
        <w:t>万</w:t>
      </w:r>
    </w:p>
    <w:p>
      <w:pPr>
        <w:pStyle w:val="BodyText"/>
        <w:spacing w:line="316" w:lineRule="auto" w:before="12"/>
        <w:ind w:left="788" w:right="762" w:firstLine="628"/>
      </w:pPr>
      <w:r>
        <w:rPr>
          <w:color w:val="000007"/>
        </w:rPr>
        <w:t>对于活动与人员交流项目 根据活动绩效择优进行资助，对</w:t>
      </w:r>
      <w:r>
        <w:rPr>
          <w:color w:val="000007"/>
          <w:w w:val="105"/>
        </w:rPr>
        <w:t>重点活动给予实际支出</w:t>
      </w:r>
      <w:r>
        <w:rPr>
          <w:color w:val="000007"/>
          <w:spacing w:val="-162"/>
          <w:w w:val="105"/>
        </w:rPr>
        <w:t>50</w:t>
      </w:r>
      <w:r>
        <w:rPr>
          <w:color w:val="000007"/>
          <w:spacing w:val="-62"/>
          <w:w w:val="105"/>
        </w:rPr>
        <w:t>%、最高</w:t>
      </w:r>
      <w:r>
        <w:rPr>
          <w:color w:val="000007"/>
          <w:spacing w:val="-160"/>
          <w:w w:val="105"/>
        </w:rPr>
        <w:t>50</w:t>
      </w:r>
      <w:r>
        <w:rPr>
          <w:color w:val="000007"/>
          <w:spacing w:val="9"/>
          <w:w w:val="105"/>
        </w:rPr>
        <w:t>万元的补助  重点活动的参加</w:t>
      </w:r>
    </w:p>
    <w:p>
      <w:pPr>
        <w:pStyle w:val="BodyText"/>
        <w:spacing w:line="481" w:lineRule="exact"/>
        <w:ind w:left="788"/>
      </w:pPr>
      <w:r>
        <w:rPr>
          <w:color w:val="000007"/>
          <w:spacing w:val="-4"/>
          <w:w w:val="99"/>
        </w:rPr>
        <w:t>人员规模应在</w:t>
      </w:r>
      <w:r>
        <w:rPr>
          <w:color w:val="000007"/>
          <w:spacing w:val="-164"/>
          <w:w w:val="199"/>
        </w:rPr>
        <w:t>1</w:t>
      </w:r>
      <w:r>
        <w:rPr>
          <w:rFonts w:ascii="Microsoft JhengHei" w:eastAsia="Microsoft JhengHei" w:hint="eastAsia"/>
          <w:b/>
          <w:color w:val="000007"/>
          <w:w w:val="167"/>
        </w:rPr>
        <w:t>0</w:t>
      </w:r>
      <w:r>
        <w:rPr>
          <w:color w:val="000007"/>
          <w:spacing w:val="-2"/>
          <w:w w:val="99"/>
        </w:rPr>
        <w:t>人以上</w:t>
      </w:r>
      <w:r>
        <w:rPr>
          <w:color w:val="000007"/>
          <w:spacing w:val="77"/>
        </w:rPr>
        <w:t> </w:t>
      </w:r>
      <w:r>
        <w:rPr>
          <w:color w:val="000007"/>
          <w:spacing w:val="-3"/>
          <w:w w:val="99"/>
        </w:rPr>
        <w:t>其中重要外方人员应在</w:t>
      </w:r>
      <w:r>
        <w:rPr>
          <w:color w:val="000007"/>
          <w:spacing w:val="-164"/>
          <w:w w:val="199"/>
        </w:rPr>
        <w:t>2</w:t>
      </w:r>
      <w:r>
        <w:rPr>
          <w:color w:val="000007"/>
          <w:spacing w:val="-159"/>
          <w:w w:val="199"/>
        </w:rPr>
        <w:t>0</w:t>
      </w:r>
      <w:r>
        <w:rPr>
          <w:color w:val="000007"/>
          <w:spacing w:val="-2"/>
          <w:w w:val="99"/>
        </w:rPr>
        <w:t>人以上</w:t>
      </w:r>
      <w:r>
        <w:rPr>
          <w:color w:val="000007"/>
          <w:spacing w:val="75"/>
        </w:rPr>
        <w:t> </w:t>
      </w:r>
      <w:r>
        <w:rPr>
          <w:color w:val="000007"/>
          <w:spacing w:val="-2"/>
          <w:w w:val="99"/>
        </w:rPr>
        <w:t>对一</w:t>
      </w:r>
    </w:p>
    <w:p>
      <w:pPr>
        <w:pStyle w:val="BodyText"/>
        <w:spacing w:before="57"/>
        <w:ind w:left="788"/>
      </w:pPr>
      <w:r>
        <w:rPr>
          <w:color w:val="000007"/>
          <w:w w:val="105"/>
        </w:rPr>
        <w:t>般活动给予实际支出</w:t>
      </w:r>
      <w:r>
        <w:rPr>
          <w:color w:val="000007"/>
          <w:spacing w:val="-162"/>
          <w:w w:val="105"/>
        </w:rPr>
        <w:t>50%</w:t>
      </w:r>
      <w:r>
        <w:rPr>
          <w:color w:val="000007"/>
          <w:spacing w:val="-27"/>
          <w:w w:val="105"/>
        </w:rPr>
        <w:t>、最高</w:t>
      </w:r>
      <w:r>
        <w:rPr>
          <w:color w:val="000007"/>
          <w:spacing w:val="-163"/>
          <w:w w:val="105"/>
        </w:rPr>
        <w:t>20</w:t>
      </w:r>
      <w:r>
        <w:rPr>
          <w:color w:val="000007"/>
          <w:spacing w:val="8"/>
          <w:w w:val="105"/>
        </w:rPr>
        <w:t>万元的补助  一般活动的参加人</w:t>
      </w:r>
    </w:p>
    <w:p>
      <w:pPr>
        <w:pStyle w:val="BodyText"/>
        <w:spacing w:line="254" w:lineRule="auto" w:before="131"/>
        <w:ind w:left="788" w:right="762"/>
      </w:pPr>
      <w:r>
        <w:rPr>
          <w:color w:val="000007"/>
          <w:spacing w:val="-2"/>
          <w:w w:val="110"/>
        </w:rPr>
        <w:t>员规模应在</w:t>
      </w:r>
      <w:r>
        <w:rPr>
          <w:color w:val="000007"/>
          <w:spacing w:val="-163"/>
          <w:w w:val="120"/>
        </w:rPr>
        <w:t>30</w:t>
      </w:r>
      <w:r>
        <w:rPr>
          <w:color w:val="000007"/>
          <w:spacing w:val="-7"/>
          <w:w w:val="110"/>
        </w:rPr>
        <w:t>人以上 其中重要外方人员应占</w:t>
      </w:r>
      <w:r>
        <w:rPr>
          <w:color w:val="000007"/>
          <w:spacing w:val="-162"/>
          <w:w w:val="120"/>
        </w:rPr>
        <w:t>25%</w:t>
      </w:r>
      <w:r>
        <w:rPr>
          <w:color w:val="000007"/>
          <w:spacing w:val="-6"/>
          <w:w w:val="110"/>
        </w:rPr>
        <w:t>以上 每个单位</w:t>
      </w:r>
      <w:r>
        <w:rPr>
          <w:color w:val="000007"/>
          <w:spacing w:val="-5"/>
          <w:w w:val="99"/>
        </w:rPr>
        <w:t>每年最多申报</w:t>
      </w:r>
      <w:r>
        <w:rPr>
          <w:color w:val="000007"/>
          <w:spacing w:val="-161"/>
          <w:w w:val="199"/>
        </w:rPr>
        <w:t>2</w:t>
      </w:r>
      <w:r>
        <w:rPr>
          <w:color w:val="000007"/>
          <w:spacing w:val="-5"/>
          <w:w w:val="99"/>
        </w:rPr>
        <w:t>个活动资助，且资助金额不超过</w:t>
      </w:r>
      <w:r>
        <w:rPr>
          <w:color w:val="000007"/>
          <w:spacing w:val="-163"/>
          <w:w w:val="199"/>
        </w:rPr>
        <w:t>1</w:t>
      </w:r>
      <w:r>
        <w:rPr>
          <w:rFonts w:ascii="Microsoft JhengHei" w:eastAsia="Microsoft JhengHei" w:hint="eastAsia"/>
          <w:b/>
          <w:color w:val="000007"/>
          <w:spacing w:val="-3"/>
          <w:w w:val="167"/>
        </w:rPr>
        <w:t>0</w:t>
      </w:r>
      <w:r>
        <w:rPr>
          <w:color w:val="000007"/>
          <w:spacing w:val="-2"/>
          <w:w w:val="99"/>
        </w:rPr>
        <w:t>万元</w:t>
      </w:r>
    </w:p>
    <w:p>
      <w:pPr>
        <w:pStyle w:val="BodyText"/>
        <w:spacing w:line="505" w:lineRule="exact"/>
        <w:ind w:left="1417"/>
      </w:pPr>
      <w:r>
        <w:rPr>
          <w:rFonts w:ascii="Microsoft JhengHei" w:eastAsia="Microsoft JhengHei" w:hint="eastAsia"/>
          <w:b/>
          <w:color w:val="000007"/>
          <w:spacing w:val="30"/>
        </w:rPr>
        <w:t>第十五条 </w:t>
      </w:r>
      <w:r>
        <w:rPr>
          <w:color w:val="000007"/>
        </w:rPr>
        <w:t>人才与交流项目中已有财政经费资助部分，不再</w:t>
      </w:r>
    </w:p>
    <w:p>
      <w:pPr>
        <w:pStyle w:val="BodyText"/>
        <w:spacing w:before="57"/>
        <w:ind w:left="788"/>
      </w:pPr>
      <w:r>
        <w:rPr>
          <w:color w:val="000007"/>
        </w:rPr>
        <w:t>重复资助</w:t>
      </w:r>
    </w:p>
    <w:p>
      <w:pPr>
        <w:pStyle w:val="BodyText"/>
        <w:spacing w:before="3"/>
        <w:rPr>
          <w:sz w:val="52"/>
        </w:rPr>
      </w:pPr>
    </w:p>
    <w:p>
      <w:pPr>
        <w:pStyle w:val="BodyText"/>
        <w:spacing w:before="1"/>
        <w:ind w:left="1069" w:right="1062"/>
        <w:jc w:val="center"/>
        <w:rPr>
          <w:rFonts w:ascii="黑体" w:eastAsia="黑体" w:hint="eastAsia"/>
        </w:rPr>
      </w:pPr>
      <w:r>
        <w:rPr>
          <w:rFonts w:ascii="黑体" w:eastAsia="黑体" w:hint="eastAsia"/>
          <w:color w:val="000007"/>
          <w:spacing w:val="8"/>
        </w:rPr>
        <w:t>第四章 项目经费开支范围</w:t>
      </w:r>
    </w:p>
    <w:p>
      <w:pPr>
        <w:pStyle w:val="BodyText"/>
        <w:spacing w:line="540" w:lineRule="exact" w:before="18"/>
        <w:ind w:left="788" w:right="762" w:firstLine="628"/>
      </w:pPr>
      <w:r>
        <w:rPr>
          <w:rFonts w:ascii="Microsoft JhengHei" w:eastAsia="Microsoft JhengHei" w:hint="eastAsia"/>
          <w:b/>
          <w:color w:val="000007"/>
          <w:spacing w:val="3"/>
        </w:rPr>
        <w:t>第十六条   </w:t>
      </w:r>
      <w:r>
        <w:rPr>
          <w:color w:val="000007"/>
        </w:rPr>
        <w:t>外国专家项目经费开支范围包括：专家交通费</w:t>
      </w:r>
      <w:r>
        <w:rPr>
          <w:color w:val="000007"/>
          <w:w w:val="95"/>
        </w:rPr>
        <w:t>专家工薪、专家咨询费（讲课费）、专家补贴、专家生活费及其 </w:t>
      </w:r>
      <w:r>
        <w:rPr>
          <w:color w:val="000007"/>
        </w:rPr>
        <w:t>他费用</w:t>
      </w:r>
    </w:p>
    <w:p>
      <w:pPr>
        <w:pStyle w:val="BodyText"/>
        <w:spacing w:before="112"/>
        <w:ind w:right="767"/>
        <w:jc w:val="right"/>
      </w:pPr>
      <w:r>
        <w:rPr>
          <w:color w:val="000007"/>
          <w:w w:val="95"/>
        </w:rPr>
        <w:t>（一）专家交通费：指外国专家本人因来琼工作产生的在国</w:t>
      </w:r>
    </w:p>
    <w:p>
      <w:pPr>
        <w:pStyle w:val="BodyText"/>
        <w:spacing w:before="130"/>
        <w:ind w:right="762"/>
        <w:jc w:val="right"/>
      </w:pPr>
      <w:r>
        <w:rPr>
          <w:color w:val="000007"/>
          <w:w w:val="95"/>
        </w:rPr>
        <w:t>（境）外出发地（返程地）和中国的入（出）境口岸之间的国际</w:t>
      </w:r>
    </w:p>
    <w:p>
      <w:pPr>
        <w:spacing w:after="0"/>
        <w:jc w:val="right"/>
        <w:sectPr>
          <w:pgSz w:w="11910" w:h="16840"/>
          <w:pgMar w:header="0" w:footer="1527" w:top="1580" w:bottom="1700" w:left="8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16" w:lineRule="auto" w:before="54"/>
        <w:ind w:left="788" w:right="762"/>
      </w:pPr>
      <w:r>
        <w:rPr>
          <w:color w:val="000007"/>
          <w:w w:val="95"/>
        </w:rPr>
        <w:t>机票或其他交通费用，以及在中国境内城市之间或市内因工作需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要乘坐交通工具所发生的费用</w:t>
      </w:r>
    </w:p>
    <w:p>
      <w:pPr>
        <w:pStyle w:val="BodyText"/>
        <w:spacing w:line="408" w:lineRule="exact"/>
        <w:ind w:left="1417"/>
      </w:pPr>
      <w:r>
        <w:rPr>
          <w:color w:val="000007"/>
        </w:rPr>
        <w:t>（二）专家工薪：指项目单位与外国专家通过签订劳动合同</w:t>
      </w:r>
    </w:p>
    <w:p>
      <w:pPr>
        <w:pStyle w:val="BodyText"/>
        <w:spacing w:line="316" w:lineRule="auto" w:before="131"/>
        <w:ind w:left="788" w:right="762"/>
        <w:jc w:val="both"/>
      </w:pPr>
      <w:r>
        <w:rPr>
          <w:color w:val="000007"/>
          <w:w w:val="95"/>
        </w:rPr>
        <w:t>（劳务合同）或者工作协议等方式约定的工作报酬；对单次来华</w:t>
      </w:r>
      <w:r>
        <w:rPr>
          <w:color w:val="000007"/>
          <w:spacing w:val="1"/>
          <w:w w:val="95"/>
        </w:rPr>
        <w:t> </w:t>
      </w:r>
      <w:r>
        <w:rPr>
          <w:color w:val="000007"/>
          <w:spacing w:val="-1"/>
        </w:rPr>
        <w:t>工作</w:t>
      </w:r>
      <w:r>
        <w:rPr>
          <w:color w:val="000007"/>
          <w:spacing w:val="-162"/>
          <w:w w:val="180"/>
        </w:rPr>
        <w:t>90</w:t>
      </w:r>
      <w:r>
        <w:rPr>
          <w:color w:val="000007"/>
          <w:spacing w:val="-1"/>
        </w:rPr>
        <w:t>天以上的外国专家，项目单位须与其签订劳动合同</w:t>
      </w:r>
      <w:r>
        <w:rPr>
          <w:color w:val="000007"/>
        </w:rPr>
        <w:t>（劳务合同）或工作协议，资助其工薪</w:t>
      </w:r>
    </w:p>
    <w:p>
      <w:pPr>
        <w:pStyle w:val="BodyText"/>
        <w:spacing w:line="316" w:lineRule="auto"/>
        <w:ind w:left="788" w:right="762" w:firstLine="628"/>
        <w:jc w:val="both"/>
      </w:pPr>
      <w:r>
        <w:rPr>
          <w:color w:val="000007"/>
          <w:w w:val="95"/>
        </w:rPr>
        <w:t>（三）专家咨询费（讲课费）：指未与项目单位建立劳动关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系的外国专家，因从事咨询、讲座、授课、技术服务等劳务取得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的临时报酬</w:t>
      </w:r>
    </w:p>
    <w:p>
      <w:pPr>
        <w:pStyle w:val="BodyText"/>
        <w:spacing w:line="316" w:lineRule="auto"/>
        <w:ind w:left="788" w:right="608" w:firstLine="628"/>
      </w:pPr>
      <w:r>
        <w:rPr>
          <w:color w:val="000007"/>
          <w:spacing w:val="-3"/>
          <w:w w:val="99"/>
        </w:rPr>
        <w:t>（四）专家补贴：指在项目单位从事短期（连续在琼工作</w:t>
      </w:r>
      <w:r>
        <w:rPr>
          <w:color w:val="000007"/>
          <w:spacing w:val="-163"/>
          <w:w w:val="199"/>
        </w:rPr>
        <w:t>9</w:t>
      </w:r>
      <w:r>
        <w:rPr>
          <w:color w:val="000007"/>
          <w:w w:val="199"/>
        </w:rPr>
        <w:t>0</w:t>
      </w:r>
      <w:r>
        <w:rPr>
          <w:color w:val="000007"/>
        </w:rPr>
        <w:t>天以内）工作，未签订劳动合同（劳务合同）或工作协议的外国专家在琼期间获取的生活补贴。专家补贴按外国专家在我省执行项目天数发放</w:t>
      </w:r>
    </w:p>
    <w:p>
      <w:pPr>
        <w:pStyle w:val="BodyText"/>
        <w:spacing w:line="316" w:lineRule="auto"/>
        <w:ind w:left="788" w:right="767" w:firstLine="628"/>
      </w:pPr>
      <w:r>
        <w:rPr>
          <w:color w:val="000007"/>
          <w:w w:val="95"/>
        </w:rPr>
        <w:t>（五）专家生活费：指外国专家在琼工作期间实际发生的租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房（住宿）费</w:t>
      </w:r>
    </w:p>
    <w:p>
      <w:pPr>
        <w:pStyle w:val="BodyText"/>
        <w:spacing w:line="316" w:lineRule="auto"/>
        <w:ind w:left="788" w:right="762" w:firstLine="628"/>
      </w:pPr>
      <w:r>
        <w:rPr>
          <w:color w:val="000007"/>
        </w:rPr>
        <w:t>（六）其他费用：指专家在琼工作期间发生的技术资料费</w:t>
      </w:r>
      <w:r>
        <w:rPr>
          <w:color w:val="000007"/>
          <w:w w:val="95"/>
        </w:rPr>
        <w:t>突出贡献奖励费等，按照申报指南规定提出经费申请，在批复额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度内支出</w:t>
      </w:r>
    </w:p>
    <w:p>
      <w:pPr>
        <w:pStyle w:val="BodyText"/>
        <w:spacing w:line="479" w:lineRule="exact"/>
        <w:ind w:left="1417"/>
      </w:pPr>
      <w:r>
        <w:rPr>
          <w:rFonts w:ascii="Microsoft JhengHei" w:eastAsia="Microsoft JhengHei" w:hint="eastAsia"/>
          <w:b/>
          <w:color w:val="000007"/>
          <w:spacing w:val="29"/>
        </w:rPr>
        <w:t>第十七条 </w:t>
      </w:r>
      <w:r>
        <w:rPr>
          <w:color w:val="000007"/>
        </w:rPr>
        <w:t>专家工薪、专家咨询费（讲课费）、专家补贴只</w:t>
      </w:r>
    </w:p>
    <w:p>
      <w:pPr>
        <w:pStyle w:val="BodyText"/>
        <w:spacing w:line="316" w:lineRule="auto" w:before="43"/>
        <w:ind w:left="788" w:right="762"/>
        <w:jc w:val="both"/>
      </w:pPr>
      <w:r>
        <w:rPr>
          <w:color w:val="000007"/>
          <w:w w:val="95"/>
        </w:rPr>
        <w:t>能选其中一种方式给予资助，发放应符合国家有关税法规定。专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家工薪如已包括专家交通费、专家生活费或其他相关费用，则不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能重复支出</w:t>
      </w:r>
    </w:p>
    <w:p>
      <w:pPr>
        <w:pStyle w:val="BodyText"/>
        <w:spacing w:line="479" w:lineRule="exact"/>
        <w:ind w:left="1417"/>
        <w:jc w:val="both"/>
      </w:pPr>
      <w:r>
        <w:rPr>
          <w:rFonts w:ascii="Microsoft JhengHei" w:eastAsia="Microsoft JhengHei" w:hint="eastAsia"/>
          <w:b/>
          <w:color w:val="000007"/>
          <w:spacing w:val="29"/>
        </w:rPr>
        <w:t>第十八条 </w:t>
      </w:r>
      <w:r>
        <w:rPr>
          <w:color w:val="000007"/>
          <w:spacing w:val="15"/>
        </w:rPr>
        <w:t>专家交通费和专家生活费应凭合规票据据实核</w:t>
      </w:r>
    </w:p>
    <w:p>
      <w:pPr>
        <w:spacing w:after="0" w:line="479" w:lineRule="exact"/>
        <w:jc w:val="both"/>
        <w:sectPr>
          <w:pgSz w:w="11910" w:h="16840"/>
          <w:pgMar w:header="0" w:footer="1510" w:top="1580" w:bottom="1720" w:left="8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16" w:lineRule="auto" w:before="54"/>
        <w:ind w:left="788" w:right="762"/>
      </w:pPr>
      <w:r>
        <w:rPr>
          <w:color w:val="000007"/>
          <w:w w:val="95"/>
        </w:rPr>
        <w:t>销；专家工薪应有合同（协议）和支付凭证；专家咨询费（讲课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费）、专家补贴、其他费用（技术资料费、突出贡献奖励费）支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出应有支付凭证。对野外考察、心理测试、实施专项研究等科研</w:t>
      </w:r>
      <w:r>
        <w:rPr>
          <w:color w:val="000007"/>
          <w:spacing w:val="1"/>
          <w:w w:val="95"/>
        </w:rPr>
        <w:t> </w:t>
      </w:r>
      <w:r>
        <w:rPr>
          <w:color w:val="000007"/>
          <w:spacing w:val="-4"/>
        </w:rPr>
        <w:t>活动中无法取得发票或者财政性票据的 在确保真实性的前提下</w:t>
      </w:r>
      <w:r>
        <w:rPr>
          <w:color w:val="000007"/>
        </w:rPr>
        <w:t>可按实际发生额予以核销</w:t>
      </w:r>
    </w:p>
    <w:p>
      <w:pPr>
        <w:pStyle w:val="BodyText"/>
        <w:spacing w:line="477" w:lineRule="exact"/>
        <w:ind w:left="1417"/>
        <w:jc w:val="both"/>
      </w:pPr>
      <w:r>
        <w:rPr>
          <w:rFonts w:ascii="Microsoft JhengHei" w:eastAsia="Microsoft JhengHei" w:hint="eastAsia"/>
          <w:b/>
          <w:color w:val="000007"/>
          <w:spacing w:val="30"/>
        </w:rPr>
        <w:t>第十九条 </w:t>
      </w:r>
      <w:r>
        <w:rPr>
          <w:color w:val="000007"/>
        </w:rPr>
        <w:t>在项目单位海外设立的研发机构等工作，以及提</w:t>
      </w:r>
    </w:p>
    <w:p>
      <w:pPr>
        <w:pStyle w:val="BodyText"/>
        <w:spacing w:line="316" w:lineRule="auto" w:before="58"/>
        <w:ind w:left="788" w:right="762"/>
        <w:jc w:val="both"/>
      </w:pPr>
      <w:r>
        <w:rPr>
          <w:color w:val="000007"/>
          <w:w w:val="95"/>
        </w:rPr>
        <w:t>供海外远程咨询指导等服务的外国专家，项目单位可按照相关科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研、教学、技术指导等实际工作量进行核算，支付专家工薪、专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家咨询费（讲课费）或专家补贴</w:t>
      </w:r>
    </w:p>
    <w:p>
      <w:pPr>
        <w:pStyle w:val="BodyText"/>
        <w:spacing w:line="479" w:lineRule="exact"/>
        <w:ind w:left="1417"/>
        <w:jc w:val="both"/>
      </w:pPr>
      <w:r>
        <w:rPr>
          <w:rFonts w:ascii="Microsoft JhengHei" w:eastAsia="Microsoft JhengHei" w:hint="eastAsia"/>
          <w:b/>
          <w:color w:val="000007"/>
          <w:spacing w:val="29"/>
        </w:rPr>
        <w:t>第二十条 </w:t>
      </w:r>
      <w:r>
        <w:rPr>
          <w:color w:val="000007"/>
        </w:rPr>
        <w:t>外国专家项目经费专款专用，不得提取管理费</w:t>
      </w:r>
    </w:p>
    <w:p>
      <w:pPr>
        <w:pStyle w:val="BodyText"/>
        <w:spacing w:line="316" w:lineRule="auto" w:before="57"/>
        <w:ind w:left="788" w:right="762"/>
      </w:pPr>
      <w:r>
        <w:rPr>
          <w:color w:val="000007"/>
          <w:w w:val="95"/>
        </w:rPr>
        <w:t>配合专家开展工作的中方人员相关费用应由项目单位承担，不得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在专家经费中列支</w:t>
      </w:r>
    </w:p>
    <w:p>
      <w:pPr>
        <w:spacing w:line="481" w:lineRule="exact" w:before="0"/>
        <w:ind w:left="1417" w:right="0" w:firstLine="0"/>
        <w:jc w:val="both"/>
        <w:rPr>
          <w:sz w:val="32"/>
        </w:rPr>
      </w:pPr>
      <w:r>
        <w:rPr>
          <w:rFonts w:ascii="Microsoft JhengHei" w:eastAsia="Microsoft JhengHei" w:hint="eastAsia"/>
          <w:b/>
          <w:color w:val="000007"/>
          <w:spacing w:val="24"/>
          <w:sz w:val="32"/>
        </w:rPr>
        <w:t>第二十一条 </w:t>
      </w:r>
      <w:r>
        <w:rPr>
          <w:color w:val="000007"/>
          <w:sz w:val="32"/>
        </w:rPr>
        <w:t>活动与人员交流项目经费主要用于举办各类国</w:t>
      </w:r>
    </w:p>
    <w:p>
      <w:pPr>
        <w:pStyle w:val="BodyText"/>
        <w:spacing w:line="316" w:lineRule="auto" w:before="57"/>
        <w:ind w:left="788" w:right="762"/>
        <w:jc w:val="both"/>
      </w:pPr>
      <w:r>
        <w:rPr>
          <w:color w:val="000007"/>
          <w:w w:val="95"/>
        </w:rPr>
        <w:t>际科技合作交流会、洽谈会、推介会和论坛等，包括宣传、场地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和设备租赁、车辆租赁、布展及聘雇活动相关服务人员等活动行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为所发生的费用，还包括活动中涉及的外国专家学者来我省从事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交流合作支出的交通费、食宿费和劳务费等相关费用</w:t>
      </w:r>
    </w:p>
    <w:p>
      <w:pPr>
        <w:spacing w:line="478" w:lineRule="exact" w:before="0"/>
        <w:ind w:left="1417" w:right="0" w:firstLine="0"/>
        <w:jc w:val="both"/>
        <w:rPr>
          <w:sz w:val="32"/>
        </w:rPr>
      </w:pPr>
      <w:r>
        <w:rPr>
          <w:rFonts w:ascii="Microsoft JhengHei" w:eastAsia="Microsoft JhengHei" w:hint="eastAsia"/>
          <w:b/>
          <w:color w:val="000007"/>
          <w:spacing w:val="24"/>
          <w:sz w:val="32"/>
        </w:rPr>
        <w:t>第二十二条 </w:t>
      </w:r>
      <w:r>
        <w:rPr>
          <w:color w:val="000007"/>
          <w:sz w:val="32"/>
        </w:rPr>
        <w:t>项目单位不得利用虚假票据套取资金，不得通</w:t>
      </w:r>
    </w:p>
    <w:p>
      <w:pPr>
        <w:pStyle w:val="BodyText"/>
        <w:spacing w:before="57"/>
        <w:ind w:left="788"/>
      </w:pPr>
      <w:r>
        <w:rPr>
          <w:color w:val="000007"/>
        </w:rPr>
        <w:t>过编造虚假合同、虚构人员名单等方式虚报冒领项目经费</w:t>
      </w:r>
    </w:p>
    <w:p>
      <w:pPr>
        <w:pStyle w:val="BodyText"/>
        <w:spacing w:line="264" w:lineRule="auto" w:before="25"/>
        <w:ind w:left="788" w:right="771" w:firstLine="628"/>
      </w:pPr>
      <w:r>
        <w:rPr>
          <w:rFonts w:ascii="Microsoft JhengHei" w:eastAsia="Microsoft JhengHei" w:hint="eastAsia"/>
          <w:b/>
          <w:color w:val="000007"/>
          <w:spacing w:val="12"/>
        </w:rPr>
        <w:t>第二十三条 </w:t>
      </w:r>
      <w:r>
        <w:rPr>
          <w:color w:val="000007"/>
          <w:spacing w:val="15"/>
        </w:rPr>
        <w:t>项目单位应当严格执行国家有关支出管理制</w:t>
      </w:r>
      <w:r>
        <w:rPr>
          <w:color w:val="000007"/>
        </w:rPr>
        <w:t>度 支付给专家本人的费用 原则上应当通过银行转账方式结算</w:t>
      </w:r>
    </w:p>
    <w:p>
      <w:pPr>
        <w:pStyle w:val="BodyText"/>
        <w:spacing w:before="4"/>
        <w:rPr>
          <w:sz w:val="40"/>
        </w:rPr>
      </w:pPr>
    </w:p>
    <w:p>
      <w:pPr>
        <w:pStyle w:val="BodyText"/>
        <w:spacing w:before="1"/>
        <w:ind w:left="1069" w:right="1062"/>
        <w:jc w:val="center"/>
        <w:rPr>
          <w:rFonts w:ascii="黑体" w:eastAsia="黑体" w:hint="eastAsia"/>
        </w:rPr>
      </w:pPr>
      <w:r>
        <w:rPr>
          <w:rFonts w:ascii="黑体" w:eastAsia="黑体" w:hint="eastAsia"/>
          <w:color w:val="000007"/>
          <w:spacing w:val="11"/>
        </w:rPr>
        <w:t>第五章 项目执行管理</w:t>
      </w:r>
    </w:p>
    <w:p>
      <w:pPr>
        <w:spacing w:before="10"/>
        <w:ind w:left="1417" w:right="0" w:firstLine="0"/>
        <w:jc w:val="both"/>
        <w:rPr>
          <w:sz w:val="32"/>
        </w:rPr>
      </w:pPr>
      <w:r>
        <w:rPr>
          <w:rFonts w:ascii="Microsoft JhengHei" w:eastAsia="Microsoft JhengHei" w:hint="eastAsia"/>
          <w:b/>
          <w:color w:val="000007"/>
          <w:spacing w:val="24"/>
          <w:sz w:val="32"/>
        </w:rPr>
        <w:t>第二十四条 </w:t>
      </w:r>
      <w:r>
        <w:rPr>
          <w:color w:val="000007"/>
          <w:sz w:val="32"/>
        </w:rPr>
        <w:t>人才与交流项目经费以后补助方式进行资助</w:t>
      </w:r>
    </w:p>
    <w:p>
      <w:pPr>
        <w:spacing w:after="0"/>
        <w:jc w:val="both"/>
        <w:rPr>
          <w:sz w:val="32"/>
        </w:rPr>
        <w:sectPr>
          <w:pgSz w:w="11910" w:h="16840"/>
          <w:pgMar w:header="0" w:footer="1527" w:top="1580" w:bottom="1700" w:left="8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16" w:lineRule="auto" w:before="54"/>
        <w:ind w:left="788" w:right="762"/>
        <w:jc w:val="both"/>
      </w:pPr>
      <w:r>
        <w:rPr>
          <w:color w:val="000007"/>
          <w:w w:val="95"/>
        </w:rPr>
        <w:t>其中，外国专家项目采用事前立项方式，立项后签订任务书或协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议，项目结束后进行财务决算；活动与人员交流项目采用事后立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项方式，立项后予以</w:t>
      </w:r>
      <w:r>
        <w:rPr/>
        <w:t>经费资助</w:t>
      </w:r>
    </w:p>
    <w:p>
      <w:pPr>
        <w:spacing w:line="479" w:lineRule="exact" w:before="0"/>
        <w:ind w:left="1417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color w:val="000007"/>
          <w:spacing w:val="24"/>
          <w:sz w:val="32"/>
        </w:rPr>
        <w:t>第二十五条 </w:t>
      </w:r>
      <w:r>
        <w:rPr>
          <w:color w:val="000007"/>
          <w:sz w:val="32"/>
        </w:rPr>
        <w:t>外国专家项目应按规定的开支范围和资助标准</w:t>
      </w:r>
    </w:p>
    <w:p>
      <w:pPr>
        <w:pStyle w:val="BodyText"/>
        <w:spacing w:line="316" w:lineRule="auto" w:before="58"/>
        <w:ind w:left="788" w:right="762"/>
      </w:pPr>
      <w:r>
        <w:rPr>
          <w:color w:val="000007"/>
          <w:w w:val="95"/>
        </w:rPr>
        <w:t>支出经费，可调剂使用。未经批准，项目单位不得擅自扩大开支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范围或超标准支出</w:t>
      </w:r>
    </w:p>
    <w:p>
      <w:pPr>
        <w:spacing w:line="481" w:lineRule="exact" w:before="0"/>
        <w:ind w:left="1417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color w:val="000007"/>
          <w:spacing w:val="24"/>
          <w:sz w:val="32"/>
        </w:rPr>
        <w:t>第二十六条 </w:t>
      </w:r>
      <w:r>
        <w:rPr>
          <w:color w:val="000007"/>
          <w:sz w:val="32"/>
        </w:rPr>
        <w:t>执行外国专家项目应当将项目支出经费纳入单</w:t>
      </w:r>
    </w:p>
    <w:p>
      <w:pPr>
        <w:pStyle w:val="BodyText"/>
        <w:spacing w:line="316" w:lineRule="auto" w:before="57"/>
        <w:ind w:left="788" w:right="762"/>
      </w:pPr>
      <w:r>
        <w:rPr>
          <w:color w:val="000007"/>
          <w:w w:val="95"/>
        </w:rPr>
        <w:t>位财务统一管理，按照国家统一的会计制度规定进行核算。对项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目经费和其他来源的经费分别核算，确保专款专用。</w:t>
      </w:r>
    </w:p>
    <w:p>
      <w:pPr>
        <w:spacing w:line="481" w:lineRule="exact" w:before="0"/>
        <w:ind w:left="1417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color w:val="000007"/>
          <w:spacing w:val="24"/>
          <w:sz w:val="32"/>
        </w:rPr>
        <w:t>第二十七条 </w:t>
      </w:r>
      <w:r>
        <w:rPr>
          <w:color w:val="000007"/>
          <w:sz w:val="32"/>
        </w:rPr>
        <w:t>执行外国专家项目应加强项目执行预判。如项</w:t>
      </w:r>
    </w:p>
    <w:p>
      <w:pPr>
        <w:pStyle w:val="BodyText"/>
        <w:spacing w:line="316" w:lineRule="auto" w:before="57"/>
        <w:ind w:left="788" w:right="762"/>
      </w:pPr>
      <w:r>
        <w:rPr>
          <w:color w:val="000007"/>
          <w:spacing w:val="-4"/>
        </w:rPr>
        <w:t>目中部分专家因故不能来华 可调整或增加其他同等水平的专家</w:t>
      </w:r>
      <w:r>
        <w:rPr>
          <w:color w:val="000007"/>
          <w:w w:val="95"/>
        </w:rPr>
        <w:t>也可按照规定调整为远程合作。项目内主要专家或超过半数专家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需作上述调整的，须报省科技厅核准后执行</w:t>
      </w:r>
    </w:p>
    <w:p>
      <w:pPr>
        <w:spacing w:line="479" w:lineRule="exact" w:before="0"/>
        <w:ind w:left="1417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color w:val="000007"/>
          <w:spacing w:val="7"/>
          <w:sz w:val="32"/>
        </w:rPr>
        <w:t>第二十八条 </w:t>
      </w:r>
      <w:r>
        <w:rPr>
          <w:color w:val="000007"/>
          <w:sz w:val="32"/>
        </w:rPr>
        <w:t>外国专家项目执行结束、因故撤销或任务终止</w:t>
      </w:r>
    </w:p>
    <w:p>
      <w:pPr>
        <w:pStyle w:val="BodyText"/>
        <w:spacing w:line="316" w:lineRule="auto" w:before="57"/>
        <w:ind w:left="788" w:right="762"/>
      </w:pPr>
      <w:r>
        <w:rPr>
          <w:color w:val="000007"/>
          <w:w w:val="95"/>
        </w:rPr>
        <w:t>项目单位应当及时报省科技厅并核销经费，清理账目，编制提交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项目总结报告（财务报告）</w:t>
      </w:r>
    </w:p>
    <w:p>
      <w:pPr>
        <w:spacing w:line="481" w:lineRule="exact" w:before="0"/>
        <w:ind w:left="1417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color w:val="000007"/>
          <w:spacing w:val="15"/>
          <w:sz w:val="32"/>
        </w:rPr>
        <w:t>第二十九条 </w:t>
      </w:r>
      <w:r>
        <w:rPr>
          <w:color w:val="000007"/>
          <w:spacing w:val="15"/>
          <w:sz w:val="32"/>
        </w:rPr>
        <w:t>省科技厅组织或委托专业化机构对总结报告</w:t>
      </w:r>
    </w:p>
    <w:p>
      <w:pPr>
        <w:pStyle w:val="BodyText"/>
        <w:spacing w:line="316" w:lineRule="auto" w:before="58"/>
        <w:ind w:left="788" w:right="762"/>
      </w:pPr>
      <w:r>
        <w:rPr>
          <w:color w:val="000007"/>
          <w:w w:val="95"/>
        </w:rPr>
        <w:t>（财务报告）、票据等材料进行审核确认，对项目支出经费进行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财务决算</w:t>
      </w:r>
    </w:p>
    <w:p>
      <w:pPr>
        <w:pStyle w:val="BodyText"/>
        <w:spacing w:line="481" w:lineRule="exact"/>
        <w:ind w:left="1417"/>
        <w:jc w:val="both"/>
      </w:pPr>
      <w:r>
        <w:rPr>
          <w:rFonts w:ascii="Microsoft JhengHei" w:eastAsia="Microsoft JhengHei" w:hint="eastAsia"/>
          <w:b/>
          <w:color w:val="000007"/>
          <w:spacing w:val="30"/>
        </w:rPr>
        <w:t>第三十条 </w:t>
      </w:r>
      <w:r>
        <w:rPr>
          <w:color w:val="000007"/>
        </w:rPr>
        <w:t>项目单位在聘请外国专家来华工作过程中应遵守</w:t>
      </w:r>
    </w:p>
    <w:p>
      <w:pPr>
        <w:pStyle w:val="BodyText"/>
        <w:spacing w:line="316" w:lineRule="auto" w:before="57"/>
        <w:ind w:left="788" w:right="762"/>
        <w:jc w:val="both"/>
      </w:pPr>
      <w:r>
        <w:rPr>
          <w:color w:val="000007"/>
          <w:w w:val="95"/>
        </w:rPr>
        <w:t>国家相关法律法规，落实作风学风和科研诚信相关规定，建立相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应的知识产权保护、竞业禁止、风险防范、预警与应急管理相关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制度</w:t>
      </w:r>
    </w:p>
    <w:p>
      <w:pPr>
        <w:spacing w:after="0" w:line="316" w:lineRule="auto"/>
        <w:jc w:val="both"/>
        <w:sectPr>
          <w:pgSz w:w="11910" w:h="16840"/>
          <w:pgMar w:header="0" w:footer="1510" w:top="1580" w:bottom="1720" w:left="8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7"/>
        <w:ind w:left="1069" w:right="1062"/>
        <w:jc w:val="center"/>
        <w:rPr>
          <w:rFonts w:ascii="黑体" w:eastAsia="黑体" w:hint="eastAsia"/>
        </w:rPr>
      </w:pPr>
      <w:r>
        <w:rPr>
          <w:rFonts w:ascii="黑体" w:eastAsia="黑体" w:hint="eastAsia"/>
          <w:color w:val="000007"/>
          <w:spacing w:val="14"/>
        </w:rPr>
        <w:t>第六章 监督检查</w:t>
      </w:r>
    </w:p>
    <w:p>
      <w:pPr>
        <w:pStyle w:val="BodyText"/>
        <w:spacing w:line="540" w:lineRule="exact" w:before="3"/>
        <w:ind w:left="788" w:right="762" w:firstLine="628"/>
      </w:pPr>
      <w:r>
        <w:rPr>
          <w:rFonts w:ascii="Microsoft JhengHei" w:eastAsia="Microsoft JhengHei" w:hint="eastAsia"/>
          <w:b/>
          <w:color w:val="000007"/>
          <w:spacing w:val="11"/>
        </w:rPr>
        <w:t>第三十一条 </w:t>
      </w:r>
      <w:r>
        <w:rPr>
          <w:color w:val="000007"/>
        </w:rPr>
        <w:t>项目单位在项目的申报、评审立项和财务决算等过程中有弄虚作假行为的，视情况轻重采取约谈、通报批评</w:t>
      </w:r>
      <w:r>
        <w:rPr>
          <w:color w:val="000007"/>
          <w:spacing w:val="-11"/>
        </w:rPr>
        <w:t>撤销认定资格、取消其 </w:t>
      </w:r>
      <w:r>
        <w:rPr>
          <w:color w:val="000007"/>
          <w:spacing w:val="-79"/>
          <w:w w:val="180"/>
        </w:rPr>
        <w:t>3</w:t>
      </w:r>
      <w:r>
        <w:rPr>
          <w:color w:val="000007"/>
          <w:spacing w:val="-3"/>
        </w:rPr>
        <w:t>年内申报资格、列入科研失信数据库等</w:t>
      </w:r>
      <w:r>
        <w:rPr>
          <w:color w:val="000007"/>
        </w:rPr>
        <w:t>处理措施，并将有关处理结果向社会公示</w:t>
      </w:r>
    </w:p>
    <w:p>
      <w:pPr>
        <w:pStyle w:val="BodyText"/>
        <w:spacing w:line="540" w:lineRule="exact" w:before="1"/>
        <w:ind w:left="788" w:right="762" w:firstLine="628"/>
        <w:jc w:val="both"/>
      </w:pPr>
      <w:r>
        <w:rPr>
          <w:rFonts w:ascii="Microsoft JhengHei" w:eastAsia="Microsoft JhengHei" w:hint="eastAsia"/>
          <w:b/>
          <w:color w:val="000007"/>
          <w:spacing w:val="11"/>
        </w:rPr>
        <w:t>第三十二条 </w:t>
      </w:r>
      <w:r>
        <w:rPr>
          <w:color w:val="000007"/>
        </w:rPr>
        <w:t>项目单位在申报、评审立项、财务决算和专项</w:t>
      </w:r>
      <w:r>
        <w:rPr>
          <w:color w:val="000007"/>
          <w:w w:val="95"/>
        </w:rPr>
        <w:t>审计等工作中，有下列情形之一的单位或个人，一经发现依法依</w:t>
      </w:r>
      <w:r>
        <w:rPr>
          <w:color w:val="000007"/>
          <w:spacing w:val="1"/>
          <w:w w:val="95"/>
        </w:rPr>
        <w:t> </w:t>
      </w:r>
      <w:r>
        <w:rPr>
          <w:color w:val="000007"/>
          <w:spacing w:val="-8"/>
        </w:rPr>
        <w:t>规予以处理 省科技厅收回不合理支出及未支出的财政资助经费</w:t>
      </w:r>
    </w:p>
    <w:p>
      <w:pPr>
        <w:pStyle w:val="BodyText"/>
        <w:spacing w:before="112"/>
        <w:ind w:left="1417"/>
      </w:pPr>
      <w:r>
        <w:rPr>
          <w:color w:val="000007"/>
        </w:rPr>
        <w:t>（一）隐瞒真实情况、提供虚假材料的；</w:t>
      </w:r>
    </w:p>
    <w:p>
      <w:pPr>
        <w:pStyle w:val="BodyText"/>
        <w:spacing w:before="130"/>
        <w:ind w:left="1417"/>
      </w:pPr>
      <w:r>
        <w:rPr>
          <w:color w:val="000007"/>
          <w:w w:val="95"/>
        </w:rPr>
        <w:t>（二）侵犯他人知识产权、被行政或司法部门确认侵权行为</w:t>
      </w:r>
    </w:p>
    <w:p>
      <w:pPr>
        <w:pStyle w:val="BodyText"/>
        <w:spacing w:before="130"/>
        <w:ind w:right="8527"/>
        <w:jc w:val="center"/>
      </w:pPr>
      <w:r>
        <w:rPr>
          <w:color w:val="000007"/>
          <w:w w:val="99"/>
        </w:rPr>
        <w:t>的</w:t>
      </w:r>
    </w:p>
    <w:p>
      <w:pPr>
        <w:pStyle w:val="BodyText"/>
        <w:spacing w:before="130"/>
        <w:ind w:left="1077" w:right="426"/>
        <w:jc w:val="center"/>
      </w:pPr>
      <w:r>
        <w:rPr>
          <w:color w:val="000007"/>
          <w:w w:val="95"/>
        </w:rPr>
        <w:t>（三）发生重大安全、质量、严重环境污染事故受到行政、</w:t>
      </w:r>
    </w:p>
    <w:p>
      <w:pPr>
        <w:pStyle w:val="BodyText"/>
        <w:spacing w:before="130"/>
        <w:ind w:left="788"/>
      </w:pPr>
      <w:r>
        <w:rPr>
          <w:color w:val="000007"/>
        </w:rPr>
        <w:t>刑事处理的</w:t>
      </w:r>
    </w:p>
    <w:p>
      <w:pPr>
        <w:pStyle w:val="BodyText"/>
        <w:spacing w:before="130"/>
        <w:ind w:left="1417"/>
      </w:pPr>
      <w:r>
        <w:rPr>
          <w:color w:val="000007"/>
        </w:rPr>
        <w:t>（四）虚报冒领、重复核销或多头申报资助经费的；</w:t>
      </w:r>
    </w:p>
    <w:p>
      <w:pPr>
        <w:pStyle w:val="BodyText"/>
        <w:spacing w:before="130"/>
        <w:ind w:left="1417"/>
      </w:pPr>
      <w:r>
        <w:rPr>
          <w:color w:val="000007"/>
        </w:rPr>
        <w:t>（五）其他违法违规违纪行为，造成恶劣社会影响的。</w:t>
      </w:r>
    </w:p>
    <w:p>
      <w:pPr>
        <w:pStyle w:val="BodyText"/>
        <w:spacing w:line="540" w:lineRule="exact" w:before="18"/>
        <w:ind w:left="788" w:right="762" w:firstLine="628"/>
        <w:jc w:val="both"/>
      </w:pPr>
      <w:r>
        <w:rPr>
          <w:rFonts w:ascii="Microsoft JhengHei" w:eastAsia="Microsoft JhengHei" w:hint="eastAsia"/>
          <w:b/>
          <w:color w:val="000007"/>
          <w:spacing w:val="11"/>
        </w:rPr>
        <w:t>第三十三条 </w:t>
      </w:r>
      <w:r>
        <w:rPr>
          <w:color w:val="000007"/>
        </w:rPr>
        <w:t>省科技厅、专业化机构和项目单位及其工作人</w:t>
      </w:r>
      <w:r>
        <w:rPr>
          <w:color w:val="000007"/>
          <w:w w:val="95"/>
        </w:rPr>
        <w:t>员在考核、评审、决算等工作中，存在违反本办法，以及其他滥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用职权、玩忽职守、徇私舞弊等违法违纪行为的，依照有关法律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规定追究相应责任；涉嫌犯罪的，依法移送司法机关处理</w:t>
      </w:r>
    </w:p>
    <w:p>
      <w:pPr>
        <w:pStyle w:val="BodyText"/>
        <w:spacing w:line="540" w:lineRule="exact"/>
        <w:ind w:left="788" w:right="762" w:firstLine="628"/>
      </w:pPr>
      <w:r>
        <w:rPr>
          <w:rFonts w:ascii="Microsoft JhengHei" w:eastAsia="Microsoft JhengHei" w:hint="eastAsia"/>
          <w:b/>
          <w:color w:val="000007"/>
          <w:spacing w:val="11"/>
        </w:rPr>
        <w:t>第三十四条 </w:t>
      </w:r>
      <w:r>
        <w:rPr>
          <w:color w:val="000007"/>
        </w:rPr>
        <w:t>专家、专业化机构及其相关科研人员、工作人员等各类主体，存在违规违纪违法行为和违背科研诚信要求的</w:t>
      </w:r>
      <w:r>
        <w:rPr>
          <w:color w:val="000007"/>
          <w:w w:val="95"/>
        </w:rPr>
        <w:t>应当按照有关法律法规等进行处理。涉嫌犯罪的，依法移送司法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机关处理</w:t>
      </w:r>
    </w:p>
    <w:p>
      <w:pPr>
        <w:spacing w:after="0" w:line="540" w:lineRule="exact"/>
        <w:sectPr>
          <w:pgSz w:w="11910" w:h="16840"/>
          <w:pgMar w:header="0" w:footer="1527" w:top="1580" w:bottom="1700" w:left="800" w:right="68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55"/>
        <w:ind w:left="1067" w:right="1062"/>
        <w:jc w:val="center"/>
        <w:rPr>
          <w:rFonts w:ascii="黑体" w:eastAsia="黑体" w:hint="eastAsia"/>
        </w:rPr>
      </w:pPr>
      <w:r>
        <w:rPr>
          <w:rFonts w:ascii="黑体" w:eastAsia="黑体" w:hint="eastAsia"/>
          <w:color w:val="000007"/>
          <w:spacing w:val="23"/>
        </w:rPr>
        <w:t>第七章 附则</w:t>
      </w:r>
    </w:p>
    <w:p>
      <w:pPr>
        <w:pStyle w:val="BodyText"/>
        <w:spacing w:line="540" w:lineRule="exact" w:before="3"/>
        <w:ind w:left="788" w:right="762" w:firstLine="628"/>
        <w:jc w:val="both"/>
      </w:pPr>
      <w:r>
        <w:rPr>
          <w:rFonts w:ascii="Microsoft JhengHei" w:eastAsia="Microsoft JhengHei" w:hint="eastAsia"/>
          <w:b/>
          <w:color w:val="000007"/>
          <w:spacing w:val="11"/>
        </w:rPr>
        <w:t>第三十五条 </w:t>
      </w:r>
      <w:r>
        <w:rPr>
          <w:color w:val="000007"/>
        </w:rPr>
        <w:t>《外国专家项目经费资助上限标准》作为本细</w:t>
      </w:r>
      <w:r>
        <w:rPr>
          <w:color w:val="000007"/>
          <w:w w:val="95"/>
        </w:rPr>
        <w:t>则的附件，其中相关指导标准为项目经费的开支上限，各项目单</w:t>
      </w:r>
      <w:r>
        <w:rPr>
          <w:color w:val="000007"/>
          <w:spacing w:val="1"/>
          <w:w w:val="95"/>
        </w:rPr>
        <w:t> </w:t>
      </w:r>
      <w:r>
        <w:rPr>
          <w:color w:val="000007"/>
        </w:rPr>
        <w:t>位根据实际需要在上限标准内支出</w:t>
      </w:r>
    </w:p>
    <w:p>
      <w:pPr>
        <w:pStyle w:val="BodyText"/>
        <w:spacing w:line="264" w:lineRule="auto" w:before="7"/>
        <w:ind w:left="788" w:right="1091" w:firstLine="628"/>
        <w:jc w:val="both"/>
      </w:pPr>
      <w:r>
        <w:rPr>
          <w:rFonts w:ascii="Microsoft JhengHei" w:eastAsia="Microsoft JhengHei" w:hint="eastAsia"/>
          <w:b/>
          <w:color w:val="000007"/>
          <w:spacing w:val="10"/>
        </w:rPr>
        <w:t>第三十六条 </w:t>
      </w:r>
      <w:r>
        <w:rPr>
          <w:color w:val="000007"/>
        </w:rPr>
        <w:t>本细则由海南省科学技术厅负责解释。法律法规及国家、省委省政府政策另有规定的，从其规定</w:t>
      </w:r>
    </w:p>
    <w:p>
      <w:pPr>
        <w:spacing w:line="570" w:lineRule="exact" w:before="0"/>
        <w:ind w:left="1417" w:right="0" w:firstLine="0"/>
        <w:jc w:val="both"/>
        <w:rPr>
          <w:sz w:val="32"/>
        </w:rPr>
      </w:pPr>
      <w:r>
        <w:rPr>
          <w:rFonts w:ascii="Microsoft JhengHei" w:eastAsia="Microsoft JhengHei" w:hint="eastAsia"/>
          <w:b/>
          <w:color w:val="000007"/>
          <w:spacing w:val="20"/>
          <w:sz w:val="32"/>
        </w:rPr>
        <w:t>第三十七条 </w:t>
      </w:r>
      <w:r>
        <w:rPr>
          <w:color w:val="000007"/>
          <w:spacing w:val="-4"/>
          <w:sz w:val="32"/>
        </w:rPr>
        <w:t>本细则自发布之日起实施，有效期为 </w:t>
      </w:r>
      <w:r>
        <w:rPr>
          <w:color w:val="000007"/>
          <w:spacing w:val="-82"/>
          <w:sz w:val="32"/>
        </w:rPr>
        <w:t>3</w:t>
      </w:r>
      <w:r>
        <w:rPr>
          <w:color w:val="000007"/>
          <w:sz w:val="32"/>
        </w:rPr>
        <w:t>年</w:t>
      </w:r>
    </w:p>
    <w:p>
      <w:pPr>
        <w:spacing w:after="0" w:line="570" w:lineRule="exact"/>
        <w:jc w:val="both"/>
        <w:rPr>
          <w:sz w:val="32"/>
        </w:rPr>
        <w:sectPr>
          <w:footerReference w:type="even" r:id="rId18"/>
          <w:footerReference w:type="default" r:id="rId19"/>
          <w:pgSz w:w="11910" w:h="16840"/>
          <w:pgMar w:footer="1527" w:header="0" w:top="1580" w:bottom="1720" w:left="800" w:right="680"/>
          <w:pgNumType w:start="1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5"/>
        <w:ind w:left="788"/>
        <w:rPr>
          <w:rFonts w:ascii="黑体" w:eastAsia="黑体" w:hint="eastAsia"/>
        </w:rPr>
      </w:pPr>
      <w:r>
        <w:rPr>
          <w:rFonts w:ascii="黑体" w:eastAsia="黑体" w:hint="eastAsia"/>
          <w:color w:val="000007"/>
        </w:rPr>
        <w:t>附件</w:t>
      </w:r>
    </w:p>
    <w:p>
      <w:pPr>
        <w:pStyle w:val="Heading1"/>
        <w:spacing w:before="46"/>
        <w:ind w:left="1074"/>
      </w:pPr>
      <w:r>
        <w:rPr>
          <w:color w:val="000007"/>
        </w:rPr>
        <w:t>外国专家项目经费资助上限标准</w:t>
      </w:r>
    </w:p>
    <w:p>
      <w:pPr>
        <w:pStyle w:val="BodyText"/>
        <w:spacing w:before="60" w:after="9"/>
        <w:ind w:right="781"/>
        <w:jc w:val="right"/>
      </w:pPr>
      <w:r>
        <w:rPr>
          <w:color w:val="000007"/>
        </w:rPr>
        <w:t>（币种：人民币）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"/>
        <w:gridCol w:w="2841"/>
        <w:gridCol w:w="2409"/>
        <w:gridCol w:w="4111"/>
      </w:tblGrid>
      <w:tr>
        <w:trPr>
          <w:trHeight w:val="825" w:hRule="atLeast"/>
        </w:trPr>
        <w:tc>
          <w:tcPr>
            <w:tcW w:w="846" w:type="dxa"/>
          </w:tcPr>
          <w:p>
            <w:pPr>
              <w:pStyle w:val="TableParagraph"/>
              <w:spacing w:before="116"/>
              <w:ind w:left="124"/>
              <w:rPr>
                <w:rFonts w:ascii="Microsoft JhengHei" w:eastAsia="Microsoft JhengHei" w:hint="eastAsia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color w:val="000007"/>
                <w:sz w:val="30"/>
              </w:rPr>
              <w:t>序号</w:t>
            </w:r>
          </w:p>
        </w:tc>
        <w:tc>
          <w:tcPr>
            <w:tcW w:w="2841" w:type="dxa"/>
          </w:tcPr>
          <w:p>
            <w:pPr>
              <w:pStyle w:val="TableParagraph"/>
              <w:spacing w:before="116"/>
              <w:ind w:left="101" w:right="88"/>
              <w:jc w:val="center"/>
              <w:rPr>
                <w:rFonts w:ascii="Microsoft JhengHei" w:eastAsia="Microsoft JhengHei" w:hint="eastAsia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color w:val="000007"/>
                <w:spacing w:val="-3"/>
                <w:sz w:val="30"/>
              </w:rPr>
              <w:t>开支范围</w:t>
            </w:r>
          </w:p>
        </w:tc>
        <w:tc>
          <w:tcPr>
            <w:tcW w:w="2409" w:type="dxa"/>
          </w:tcPr>
          <w:p>
            <w:pPr>
              <w:pStyle w:val="TableParagraph"/>
              <w:spacing w:before="116"/>
              <w:ind w:left="296" w:right="281"/>
              <w:jc w:val="center"/>
              <w:rPr>
                <w:rFonts w:ascii="Microsoft JhengHei" w:eastAsia="Microsoft JhengHei" w:hint="eastAsia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color w:val="000007"/>
                <w:spacing w:val="-3"/>
                <w:sz w:val="30"/>
              </w:rPr>
              <w:t>资助上限标准</w:t>
            </w:r>
          </w:p>
        </w:tc>
        <w:tc>
          <w:tcPr>
            <w:tcW w:w="4111" w:type="dxa"/>
          </w:tcPr>
          <w:p>
            <w:pPr>
              <w:pStyle w:val="TableParagraph"/>
              <w:spacing w:before="116"/>
              <w:ind w:left="1736" w:right="1724"/>
              <w:jc w:val="center"/>
              <w:rPr>
                <w:rFonts w:ascii="Microsoft JhengHei" w:eastAsia="Microsoft JhengHei" w:hint="eastAsia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color w:val="000007"/>
                <w:sz w:val="30"/>
              </w:rPr>
              <w:t>备注</w:t>
            </w:r>
          </w:p>
        </w:tc>
      </w:tr>
      <w:tr>
        <w:trPr>
          <w:trHeight w:val="2104" w:hRule="atLeast"/>
        </w:trPr>
        <w:tc>
          <w:tcPr>
            <w:tcW w:w="846" w:type="dxa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color w:val="000007"/>
                <w:w w:val="200"/>
                <w:sz w:val="30"/>
              </w:rPr>
              <w:t>1</w:t>
            </w:r>
          </w:p>
        </w:tc>
        <w:tc>
          <w:tcPr>
            <w:tcW w:w="2841" w:type="dxa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6" w:right="88"/>
              <w:jc w:val="center"/>
              <w:rPr>
                <w:sz w:val="30"/>
              </w:rPr>
            </w:pPr>
            <w:r>
              <w:rPr>
                <w:color w:val="000007"/>
                <w:sz w:val="30"/>
              </w:rPr>
              <w:t>专家交通费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96" w:right="279"/>
              <w:jc w:val="center"/>
              <w:rPr>
                <w:sz w:val="30"/>
              </w:rPr>
            </w:pPr>
            <w:r>
              <w:rPr>
                <w:color w:val="000007"/>
                <w:sz w:val="30"/>
              </w:rPr>
              <w:t>据实核销</w:t>
            </w:r>
          </w:p>
        </w:tc>
        <w:tc>
          <w:tcPr>
            <w:tcW w:w="4111" w:type="dxa"/>
          </w:tcPr>
          <w:p>
            <w:pPr>
              <w:pStyle w:val="TableParagraph"/>
              <w:spacing w:line="211" w:lineRule="auto" w:before="40"/>
              <w:ind w:left="108" w:right="-72"/>
              <w:rPr>
                <w:sz w:val="30"/>
              </w:rPr>
            </w:pPr>
            <w:r>
              <w:rPr>
                <w:color w:val="000007"/>
                <w:spacing w:val="-13"/>
                <w:sz w:val="30"/>
              </w:rPr>
              <w:t>根据外国专家层次、健康状况、</w:t>
            </w:r>
            <w:r>
              <w:rPr>
                <w:color w:val="000007"/>
                <w:spacing w:val="10"/>
                <w:sz w:val="30"/>
              </w:rPr>
              <w:t>工作需要在可靠 便利、节俭</w:t>
            </w:r>
            <w:r>
              <w:rPr>
                <w:color w:val="000007"/>
                <w:sz w:val="30"/>
              </w:rPr>
              <w:t>原则下选择交通工具及座位等</w:t>
            </w:r>
            <w:r>
              <w:rPr>
                <w:color w:val="000007"/>
                <w:w w:val="105"/>
                <w:sz w:val="30"/>
              </w:rPr>
              <w:t>级，包括乘坐国际</w:t>
            </w:r>
            <w:r>
              <w:rPr>
                <w:color w:val="000007"/>
                <w:spacing w:val="-152"/>
                <w:w w:val="180"/>
                <w:sz w:val="30"/>
              </w:rPr>
              <w:t>/</w:t>
            </w:r>
            <w:r>
              <w:rPr>
                <w:color w:val="000007"/>
                <w:w w:val="105"/>
                <w:sz w:val="30"/>
              </w:rPr>
              <w:t>国内航班</w:t>
            </w:r>
            <w:r>
              <w:rPr>
                <w:color w:val="000007"/>
                <w:spacing w:val="-9"/>
                <w:w w:val="105"/>
                <w:sz w:val="30"/>
              </w:rPr>
              <w:t>火车、高铁</w:t>
            </w:r>
            <w:r>
              <w:rPr>
                <w:color w:val="000007"/>
                <w:spacing w:val="-152"/>
                <w:w w:val="175"/>
                <w:sz w:val="30"/>
              </w:rPr>
              <w:t>/</w:t>
            </w:r>
            <w:r>
              <w:rPr>
                <w:color w:val="000007"/>
                <w:spacing w:val="-5"/>
                <w:w w:val="105"/>
                <w:sz w:val="30"/>
              </w:rPr>
              <w:t>动车 轮船</w:t>
            </w:r>
            <w:r>
              <w:rPr>
                <w:color w:val="000007"/>
                <w:spacing w:val="-8"/>
                <w:w w:val="105"/>
                <w:sz w:val="30"/>
              </w:rPr>
              <w:t>（不包</w:t>
            </w:r>
            <w:r>
              <w:rPr>
                <w:color w:val="000007"/>
                <w:w w:val="105"/>
                <w:sz w:val="30"/>
              </w:rPr>
              <w:t>含旅游船）；市内出租车费</w:t>
            </w:r>
          </w:p>
        </w:tc>
      </w:tr>
      <w:tr>
        <w:trPr>
          <w:trHeight w:val="1700" w:hRule="atLeast"/>
        </w:trPr>
        <w:tc>
          <w:tcPr>
            <w:tcW w:w="846" w:type="dxa"/>
          </w:tcPr>
          <w:p>
            <w:pPr>
              <w:pStyle w:val="TableParagraph"/>
              <w:spacing w:before="12"/>
              <w:rPr>
                <w:sz w:val="50"/>
              </w:rPr>
            </w:pPr>
          </w:p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color w:val="000007"/>
                <w:w w:val="200"/>
                <w:sz w:val="30"/>
              </w:rPr>
              <w:t>2</w:t>
            </w:r>
          </w:p>
        </w:tc>
        <w:tc>
          <w:tcPr>
            <w:tcW w:w="2841" w:type="dxa"/>
          </w:tcPr>
          <w:p>
            <w:pPr>
              <w:pStyle w:val="TableParagraph"/>
              <w:spacing w:before="12"/>
              <w:rPr>
                <w:sz w:val="50"/>
              </w:rPr>
            </w:pPr>
          </w:p>
          <w:p>
            <w:pPr>
              <w:pStyle w:val="TableParagraph"/>
              <w:ind w:left="103" w:right="88"/>
              <w:jc w:val="center"/>
              <w:rPr>
                <w:sz w:val="30"/>
              </w:rPr>
            </w:pPr>
            <w:r>
              <w:rPr>
                <w:color w:val="000007"/>
                <w:sz w:val="30"/>
              </w:rPr>
              <w:t>专家工薪</w:t>
            </w:r>
          </w:p>
        </w:tc>
        <w:tc>
          <w:tcPr>
            <w:tcW w:w="2409" w:type="dxa"/>
          </w:tcPr>
          <w:p>
            <w:pPr>
              <w:pStyle w:val="TableParagraph"/>
              <w:spacing w:line="211" w:lineRule="auto" w:before="7"/>
              <w:ind w:left="172" w:right="148"/>
              <w:jc w:val="both"/>
              <w:rPr>
                <w:sz w:val="30"/>
              </w:rPr>
            </w:pPr>
            <w:r>
              <w:rPr>
                <w:color w:val="000007"/>
                <w:spacing w:val="-4"/>
                <w:sz w:val="30"/>
              </w:rPr>
              <w:t>以专家与项目单位签订的劳动合同（劳务合同）</w:t>
            </w:r>
            <w:r>
              <w:rPr>
                <w:color w:val="000007"/>
                <w:spacing w:val="-148"/>
                <w:sz w:val="30"/>
              </w:rPr>
              <w:t> </w:t>
            </w:r>
            <w:r>
              <w:rPr>
                <w:color w:val="000007"/>
                <w:spacing w:val="-6"/>
                <w:sz w:val="30"/>
              </w:rPr>
              <w:t>或工作协议约定</w:t>
            </w:r>
          </w:p>
          <w:p>
            <w:pPr>
              <w:pStyle w:val="TableParagraph"/>
              <w:spacing w:line="320" w:lineRule="exact"/>
              <w:ind w:left="172"/>
              <w:rPr>
                <w:sz w:val="30"/>
              </w:rPr>
            </w:pPr>
            <w:r>
              <w:rPr>
                <w:color w:val="000007"/>
                <w:spacing w:val="-4"/>
                <w:sz w:val="30"/>
              </w:rPr>
              <w:t>为基础核准支持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line="211" w:lineRule="auto" w:before="260"/>
              <w:ind w:left="108" w:right="140"/>
              <w:jc w:val="both"/>
              <w:rPr>
                <w:sz w:val="30"/>
              </w:rPr>
            </w:pPr>
            <w:r>
              <w:rPr>
                <w:color w:val="000007"/>
                <w:spacing w:val="7"/>
                <w:sz w:val="30"/>
              </w:rPr>
              <w:t>专家工薪 专家咨询费</w:t>
            </w:r>
            <w:r>
              <w:rPr>
                <w:color w:val="000007"/>
                <w:sz w:val="30"/>
              </w:rPr>
              <w:t>（讲课</w:t>
            </w:r>
            <w:r>
              <w:rPr>
                <w:color w:val="000007"/>
                <w:spacing w:val="-5"/>
                <w:sz w:val="30"/>
              </w:rPr>
              <w:t>费）</w:t>
            </w:r>
            <w:r>
              <w:rPr>
                <w:color w:val="000007"/>
                <w:spacing w:val="-4"/>
                <w:sz w:val="30"/>
              </w:rPr>
              <w:t>、专家补贴只能选择其一</w:t>
            </w:r>
            <w:r>
              <w:rPr>
                <w:color w:val="000007"/>
                <w:sz w:val="30"/>
              </w:rPr>
              <w:t>种方式给予资助</w:t>
            </w:r>
          </w:p>
        </w:tc>
      </w:tr>
      <w:tr>
        <w:trPr>
          <w:trHeight w:val="1377" w:hRule="atLeast"/>
        </w:trPr>
        <w:tc>
          <w:tcPr>
            <w:tcW w:w="846" w:type="dxa"/>
          </w:tcPr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color w:val="000007"/>
                <w:w w:val="200"/>
                <w:sz w:val="30"/>
              </w:rPr>
              <w:t>3</w:t>
            </w:r>
          </w:p>
        </w:tc>
        <w:tc>
          <w:tcPr>
            <w:tcW w:w="2841" w:type="dxa"/>
          </w:tcPr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spacing w:line="363" w:lineRule="exact"/>
              <w:ind w:left="682"/>
              <w:rPr>
                <w:sz w:val="30"/>
              </w:rPr>
            </w:pPr>
            <w:r>
              <w:rPr>
                <w:color w:val="000007"/>
                <w:spacing w:val="-4"/>
                <w:sz w:val="30"/>
              </w:rPr>
              <w:t>专家咨询费</w:t>
            </w:r>
          </w:p>
          <w:p>
            <w:pPr>
              <w:pStyle w:val="TableParagraph"/>
              <w:spacing w:line="363" w:lineRule="exact"/>
              <w:ind w:left="682"/>
              <w:rPr>
                <w:sz w:val="30"/>
              </w:rPr>
            </w:pPr>
            <w:r>
              <w:rPr>
                <w:color w:val="000007"/>
                <w:spacing w:val="-4"/>
                <w:sz w:val="30"/>
              </w:rPr>
              <w:t>（讲课费</w:t>
            </w:r>
            <w:r>
              <w:rPr>
                <w:color w:val="000007"/>
                <w:spacing w:val="-3"/>
                <w:sz w:val="30"/>
              </w:rPr>
              <w:t>）</w:t>
            </w:r>
          </w:p>
        </w:tc>
        <w:tc>
          <w:tcPr>
            <w:tcW w:w="2409" w:type="dxa"/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296" w:right="276"/>
              <w:jc w:val="center"/>
              <w:rPr>
                <w:sz w:val="30"/>
              </w:rPr>
            </w:pPr>
            <w:r>
              <w:rPr>
                <w:color w:val="000007"/>
                <w:spacing w:val="-154"/>
                <w:w w:val="200"/>
                <w:sz w:val="30"/>
              </w:rPr>
              <w:t>3</w:t>
            </w:r>
            <w:r>
              <w:rPr>
                <w:rFonts w:ascii="Microsoft JhengHei" w:eastAsia="Microsoft JhengHei" w:hint="eastAsia"/>
                <w:b/>
                <w:color w:val="000007"/>
                <w:spacing w:val="-5"/>
                <w:w w:val="167"/>
                <w:sz w:val="30"/>
              </w:rPr>
              <w:t>0</w:t>
            </w:r>
            <w:r>
              <w:rPr>
                <w:color w:val="000007"/>
                <w:spacing w:val="-75"/>
                <w:w w:val="200"/>
                <w:sz w:val="30"/>
              </w:rPr>
              <w:t>0</w:t>
            </w:r>
            <w:r>
              <w:rPr>
                <w:color w:val="000007"/>
                <w:spacing w:val="-5"/>
                <w:sz w:val="30"/>
              </w:rPr>
              <w:t>元</w:t>
            </w:r>
            <w:r>
              <w:rPr>
                <w:color w:val="000007"/>
                <w:spacing w:val="-152"/>
                <w:w w:val="200"/>
                <w:sz w:val="30"/>
              </w:rPr>
              <w:t>/</w:t>
            </w:r>
            <w:r>
              <w:rPr>
                <w:color w:val="000007"/>
                <w:sz w:val="30"/>
              </w:rPr>
              <w:t>次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0" w:hRule="atLeast"/>
        </w:trPr>
        <w:tc>
          <w:tcPr>
            <w:tcW w:w="846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color w:val="000007"/>
                <w:w w:val="200"/>
                <w:sz w:val="30"/>
              </w:rPr>
              <w:t>4</w:t>
            </w:r>
          </w:p>
        </w:tc>
        <w:tc>
          <w:tcPr>
            <w:tcW w:w="2841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03" w:right="88"/>
              <w:jc w:val="center"/>
              <w:rPr>
                <w:sz w:val="30"/>
              </w:rPr>
            </w:pPr>
            <w:r>
              <w:rPr>
                <w:color w:val="000007"/>
                <w:sz w:val="30"/>
              </w:rPr>
              <w:t>专家补贴</w:t>
            </w:r>
          </w:p>
        </w:tc>
        <w:tc>
          <w:tcPr>
            <w:tcW w:w="2409" w:type="dxa"/>
          </w:tcPr>
          <w:p>
            <w:pPr>
              <w:pStyle w:val="TableParagraph"/>
              <w:spacing w:before="224"/>
              <w:ind w:left="296" w:right="276"/>
              <w:jc w:val="center"/>
              <w:rPr>
                <w:sz w:val="30"/>
              </w:rPr>
            </w:pPr>
            <w:r>
              <w:rPr>
                <w:color w:val="000007"/>
                <w:spacing w:val="-154"/>
                <w:w w:val="200"/>
                <w:sz w:val="30"/>
              </w:rPr>
              <w:t>1</w:t>
            </w:r>
            <w:r>
              <w:rPr>
                <w:rFonts w:ascii="Microsoft JhengHei" w:eastAsia="Microsoft JhengHei" w:hint="eastAsia"/>
                <w:b/>
                <w:color w:val="000007"/>
                <w:spacing w:val="-5"/>
                <w:w w:val="167"/>
                <w:sz w:val="30"/>
              </w:rPr>
              <w:t>0</w:t>
            </w:r>
            <w:r>
              <w:rPr>
                <w:color w:val="000007"/>
                <w:spacing w:val="-75"/>
                <w:w w:val="200"/>
                <w:sz w:val="30"/>
              </w:rPr>
              <w:t>0</w:t>
            </w:r>
            <w:r>
              <w:rPr>
                <w:color w:val="000007"/>
                <w:spacing w:val="-5"/>
                <w:sz w:val="30"/>
              </w:rPr>
              <w:t>元</w:t>
            </w:r>
            <w:r>
              <w:rPr>
                <w:color w:val="000007"/>
                <w:spacing w:val="-152"/>
                <w:w w:val="200"/>
                <w:sz w:val="30"/>
              </w:rPr>
              <w:t>/</w:t>
            </w:r>
            <w:r>
              <w:rPr>
                <w:color w:val="000007"/>
                <w:sz w:val="30"/>
              </w:rPr>
              <w:t>天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0" w:hRule="atLeast"/>
        </w:trPr>
        <w:tc>
          <w:tcPr>
            <w:tcW w:w="846" w:type="dxa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color w:val="000007"/>
                <w:w w:val="200"/>
                <w:sz w:val="30"/>
              </w:rPr>
              <w:t>5</w:t>
            </w:r>
          </w:p>
        </w:tc>
        <w:tc>
          <w:tcPr>
            <w:tcW w:w="2841" w:type="dxa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106" w:right="88"/>
              <w:jc w:val="center"/>
              <w:rPr>
                <w:sz w:val="30"/>
              </w:rPr>
            </w:pPr>
            <w:r>
              <w:rPr>
                <w:color w:val="000007"/>
                <w:sz w:val="30"/>
              </w:rPr>
              <w:t>专家生活费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296" w:right="279"/>
              <w:jc w:val="center"/>
              <w:rPr>
                <w:sz w:val="30"/>
              </w:rPr>
            </w:pPr>
            <w:r>
              <w:rPr>
                <w:color w:val="000007"/>
                <w:sz w:val="30"/>
              </w:rPr>
              <w:t>据实核销</w:t>
            </w:r>
          </w:p>
        </w:tc>
        <w:tc>
          <w:tcPr>
            <w:tcW w:w="4111" w:type="dxa"/>
          </w:tcPr>
          <w:p>
            <w:pPr>
              <w:pStyle w:val="TableParagraph"/>
              <w:spacing w:line="213" w:lineRule="auto" w:before="4"/>
              <w:ind w:left="108" w:right="77"/>
              <w:jc w:val="both"/>
              <w:rPr>
                <w:sz w:val="30"/>
              </w:rPr>
            </w:pPr>
            <w:r>
              <w:rPr>
                <w:color w:val="000007"/>
                <w:sz w:val="30"/>
              </w:rPr>
              <w:t>专家生活费指专家租房或住宿费，参照外宾接待管理规定执行。凭住宿发票按专家实际居</w:t>
            </w:r>
            <w:r>
              <w:rPr>
                <w:color w:val="000007"/>
                <w:spacing w:val="10"/>
                <w:sz w:val="30"/>
              </w:rPr>
              <w:t>住天数据实核销 专家在琼工</w:t>
            </w:r>
            <w:r>
              <w:rPr>
                <w:color w:val="000007"/>
                <w:sz w:val="30"/>
              </w:rPr>
              <w:t>作期间长期租房居住的，凭租</w:t>
            </w:r>
          </w:p>
          <w:p>
            <w:pPr>
              <w:pStyle w:val="TableParagraph"/>
              <w:spacing w:line="306" w:lineRule="exact"/>
              <w:ind w:left="108"/>
              <w:rPr>
                <w:sz w:val="30"/>
              </w:rPr>
            </w:pPr>
            <w:r>
              <w:rPr>
                <w:color w:val="000007"/>
                <w:sz w:val="30"/>
              </w:rPr>
              <w:t>房合同及有效发票据实核销</w:t>
            </w:r>
          </w:p>
        </w:tc>
      </w:tr>
      <w:tr>
        <w:trPr>
          <w:trHeight w:val="1020" w:hRule="atLeast"/>
        </w:trPr>
        <w:tc>
          <w:tcPr>
            <w:tcW w:w="846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color w:val="000007"/>
                <w:w w:val="200"/>
                <w:sz w:val="30"/>
              </w:rPr>
              <w:t>6</w:t>
            </w:r>
          </w:p>
        </w:tc>
        <w:tc>
          <w:tcPr>
            <w:tcW w:w="2841" w:type="dxa"/>
          </w:tcPr>
          <w:p>
            <w:pPr>
              <w:pStyle w:val="TableParagraph"/>
              <w:spacing w:line="335" w:lineRule="exact"/>
              <w:ind w:left="103" w:right="88"/>
              <w:jc w:val="center"/>
              <w:rPr>
                <w:sz w:val="30"/>
              </w:rPr>
            </w:pPr>
            <w:r>
              <w:rPr>
                <w:color w:val="000007"/>
                <w:sz w:val="30"/>
              </w:rPr>
              <w:t>其他费用</w:t>
            </w:r>
          </w:p>
          <w:p>
            <w:pPr>
              <w:pStyle w:val="TableParagraph"/>
              <w:spacing w:line="340" w:lineRule="exact"/>
              <w:ind w:left="111" w:right="88"/>
              <w:jc w:val="center"/>
              <w:rPr>
                <w:sz w:val="30"/>
              </w:rPr>
            </w:pPr>
            <w:r>
              <w:rPr>
                <w:color w:val="000007"/>
                <w:spacing w:val="-9"/>
                <w:sz w:val="30"/>
              </w:rPr>
              <w:t>（技术资料费、突出</w:t>
            </w:r>
            <w:r>
              <w:rPr>
                <w:color w:val="000007"/>
                <w:sz w:val="30"/>
              </w:rPr>
              <w:t>贡献奖励费等）</w:t>
            </w:r>
          </w:p>
        </w:tc>
        <w:tc>
          <w:tcPr>
            <w:tcW w:w="2409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96" w:right="279"/>
              <w:jc w:val="center"/>
              <w:rPr>
                <w:sz w:val="30"/>
              </w:rPr>
            </w:pPr>
            <w:r>
              <w:rPr>
                <w:color w:val="000007"/>
                <w:sz w:val="30"/>
              </w:rPr>
              <w:t>据实核销</w:t>
            </w:r>
          </w:p>
        </w:tc>
        <w:tc>
          <w:tcPr>
            <w:tcW w:w="4111" w:type="dxa"/>
          </w:tcPr>
          <w:p>
            <w:pPr>
              <w:pStyle w:val="TableParagraph"/>
              <w:spacing w:line="213" w:lineRule="auto" w:before="174"/>
              <w:ind w:left="108" w:right="140"/>
              <w:rPr>
                <w:sz w:val="30"/>
              </w:rPr>
            </w:pPr>
            <w:r>
              <w:rPr>
                <w:color w:val="000007"/>
                <w:spacing w:val="-5"/>
                <w:sz w:val="30"/>
              </w:rPr>
              <w:t>按照申报指南规定提出经费申</w:t>
            </w:r>
            <w:r>
              <w:rPr>
                <w:color w:val="000007"/>
                <w:sz w:val="30"/>
              </w:rPr>
              <w:t>请，在批复额度内支出</w:t>
            </w:r>
          </w:p>
        </w:tc>
      </w:tr>
    </w:tbl>
    <w:p>
      <w:pPr>
        <w:spacing w:after="0" w:line="213" w:lineRule="auto"/>
        <w:rPr>
          <w:sz w:val="30"/>
        </w:rPr>
        <w:sectPr>
          <w:pgSz w:w="11910" w:h="16840"/>
          <w:pgMar w:header="0" w:footer="1510" w:top="1580" w:bottom="1700" w:left="8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1"/>
        </w:rPr>
      </w:pPr>
    </w:p>
    <w:p>
      <w:pPr>
        <w:pStyle w:val="BodyText"/>
        <w:spacing w:line="34" w:lineRule="exact"/>
        <w:ind w:left="735"/>
        <w:rPr>
          <w:sz w:val="3"/>
        </w:rPr>
      </w:pPr>
      <w:r>
        <w:rPr>
          <w:position w:val="0"/>
          <w:sz w:val="3"/>
        </w:rPr>
        <w:pict>
          <v:group style="width:442.25pt;height:1.75pt;mso-position-horizontal-relative:char;mso-position-vertical-relative:line" coordorigin="0,0" coordsize="8845,35">
            <v:shape style="position:absolute;left:0;top:0;width:8845;height:35" coordorigin="0,0" coordsize="8845,35" path="m0,0l0,20,8844,35,8844,15,0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tabs>
          <w:tab w:pos="6720" w:val="left" w:leader="none"/>
        </w:tabs>
        <w:spacing w:before="25"/>
        <w:ind w:left="1062" w:right="0" w:firstLine="0"/>
        <w:jc w:val="left"/>
        <w:rPr>
          <w:sz w:val="28"/>
        </w:rPr>
      </w:pPr>
      <w:r>
        <w:rPr/>
        <w:pict>
          <v:shape style="position:absolute;margin-left:77.508904pt;margin-top:23.275913pt;width:442.25pt;height:1.75pt;mso-position-horizontal-relative:page;mso-position-vertical-relative:paragraph;z-index:-15936512" coordorigin="1550,466" coordsize="8845,35" path="m1550,466l1550,485,10394,500,10394,481,1550,466xe" filled="true" fillcolor="#000000" stroked="false">
            <v:path arrowok="t"/>
            <v:fill type="solid"/>
            <w10:wrap type="none"/>
          </v:shape>
        </w:pict>
      </w:r>
      <w:r>
        <w:rPr>
          <w:color w:val="000007"/>
          <w:spacing w:val="-5"/>
          <w:w w:val="100"/>
          <w:sz w:val="28"/>
        </w:rPr>
        <w:t>海南省科学技术厅</w:t>
      </w:r>
      <w:r>
        <w:rPr>
          <w:color w:val="000007"/>
          <w:spacing w:val="-8"/>
          <w:w w:val="100"/>
          <w:sz w:val="28"/>
        </w:rPr>
        <w:t>办</w:t>
      </w:r>
      <w:r>
        <w:rPr>
          <w:color w:val="000007"/>
          <w:spacing w:val="-5"/>
          <w:w w:val="100"/>
          <w:sz w:val="28"/>
        </w:rPr>
        <w:t>公</w:t>
      </w:r>
      <w:r>
        <w:rPr>
          <w:color w:val="000007"/>
          <w:w w:val="100"/>
          <w:sz w:val="28"/>
        </w:rPr>
        <w:t>室</w:t>
      </w:r>
      <w:r>
        <w:rPr>
          <w:color w:val="000007"/>
          <w:sz w:val="28"/>
        </w:rPr>
        <w:tab/>
      </w:r>
      <w:r>
        <w:rPr>
          <w:color w:val="000007"/>
          <w:spacing w:val="-145"/>
          <w:w w:val="200"/>
          <w:sz w:val="28"/>
        </w:rPr>
        <w:t>20</w:t>
      </w:r>
      <w:r>
        <w:rPr>
          <w:rFonts w:ascii="Microsoft JhengHei" w:eastAsia="Microsoft JhengHei" w:hint="eastAsia"/>
          <w:b/>
          <w:color w:val="000007"/>
          <w:w w:val="168"/>
          <w:sz w:val="28"/>
        </w:rPr>
        <w:t>2</w:t>
      </w:r>
      <w:r>
        <w:rPr>
          <w:rFonts w:ascii="Microsoft JhengHei" w:eastAsia="Microsoft JhengHei" w:hint="eastAsia"/>
          <w:b/>
          <w:color w:val="000007"/>
          <w:spacing w:val="-3"/>
          <w:sz w:val="28"/>
        </w:rPr>
        <w:t> </w:t>
      </w:r>
      <w:r>
        <w:rPr>
          <w:color w:val="000007"/>
          <w:w w:val="100"/>
          <w:sz w:val="28"/>
        </w:rPr>
        <w:t>年</w:t>
      </w:r>
      <w:r>
        <w:rPr>
          <w:color w:val="000007"/>
          <w:spacing w:val="-78"/>
          <w:sz w:val="28"/>
        </w:rPr>
        <w:t> </w:t>
      </w:r>
      <w:r>
        <w:rPr>
          <w:color w:val="000007"/>
          <w:spacing w:val="-73"/>
          <w:w w:val="200"/>
          <w:sz w:val="28"/>
        </w:rPr>
        <w:t>3</w:t>
      </w:r>
      <w:r>
        <w:rPr>
          <w:color w:val="000007"/>
          <w:w w:val="100"/>
          <w:sz w:val="28"/>
        </w:rPr>
        <w:t>月</w:t>
      </w:r>
      <w:r>
        <w:rPr>
          <w:color w:val="000007"/>
          <w:spacing w:val="-78"/>
          <w:sz w:val="28"/>
        </w:rPr>
        <w:t> </w:t>
      </w:r>
      <w:r>
        <w:rPr>
          <w:color w:val="000007"/>
          <w:spacing w:val="-142"/>
          <w:w w:val="200"/>
          <w:sz w:val="28"/>
        </w:rPr>
        <w:t>3</w:t>
      </w:r>
      <w:r>
        <w:rPr>
          <w:color w:val="000007"/>
          <w:spacing w:val="-75"/>
          <w:w w:val="200"/>
          <w:sz w:val="28"/>
        </w:rPr>
        <w:t>1</w:t>
      </w:r>
      <w:r>
        <w:rPr>
          <w:color w:val="000007"/>
          <w:spacing w:val="-6"/>
          <w:w w:val="100"/>
          <w:sz w:val="28"/>
        </w:rPr>
        <w:t>日</w:t>
      </w:r>
      <w:r>
        <w:rPr>
          <w:color w:val="000007"/>
          <w:spacing w:val="-5"/>
          <w:w w:val="100"/>
          <w:sz w:val="28"/>
        </w:rPr>
        <w:t>印</w:t>
      </w:r>
      <w:r>
        <w:rPr>
          <w:color w:val="000007"/>
          <w:w w:val="100"/>
          <w:sz w:val="28"/>
        </w:rPr>
        <w:t>发</w:t>
      </w:r>
    </w:p>
    <w:sectPr>
      <w:pgSz w:w="11910" w:h="16840"/>
      <w:pgMar w:header="0" w:footer="1527" w:top="1580" w:bottom="1720" w:left="8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Calibri">
    <w:altName w:val="Calibri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4.816956pt;margin-top:754.196472pt;width:54.1pt;height:19.5pt;mso-position-horizontal-relative:page;mso-position-vertical-relative:page;z-index:-1593804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libri" w:hAnsi="Calibri"/>
                    <w:sz w:val="28"/>
                  </w:rPr>
                </w:pPr>
                <w:r>
                  <w:rPr>
                    <w:rFonts w:ascii="Calibri" w:hAnsi="Calibri"/>
                    <w:color w:val="000007"/>
                    <w:w w:val="135"/>
                    <w:sz w:val="28"/>
                  </w:rPr>
                  <w:t>—</w:t>
                </w:r>
                <w:r>
                  <w:rPr>
                    <w:rFonts w:ascii="Calibri" w:hAnsi="Calibri"/>
                    <w:color w:val="000007"/>
                    <w:spacing w:val="32"/>
                    <w:w w:val="135"/>
                    <w:sz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color w:val="000007"/>
                    <w:w w:val="135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color w:val="000007"/>
                    <w:w w:val="135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050468pt;margin-top:753.356506pt;width:54.1pt;height:19.350pt;mso-position-horizontal-relative:page;mso-position-vertical-relative:page;z-index:-1593753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Calibri" w:hAnsi="Calibri"/>
                    <w:sz w:val="28"/>
                  </w:rPr>
                </w:pPr>
                <w:r>
                  <w:rPr>
                    <w:rFonts w:ascii="Calibri" w:hAnsi="Calibri"/>
                    <w:color w:val="000007"/>
                    <w:w w:val="135"/>
                    <w:sz w:val="28"/>
                  </w:rPr>
                  <w:t>—</w:t>
                </w:r>
                <w:r>
                  <w:rPr>
                    <w:rFonts w:ascii="Calibri" w:hAnsi="Calibri"/>
                    <w:color w:val="000007"/>
                    <w:spacing w:val="32"/>
                    <w:w w:val="135"/>
                    <w:sz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color w:val="000007"/>
                    <w:w w:val="135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color w:val="000007"/>
                    <w:w w:val="135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050468pt;margin-top:753.356506pt;width:61.1pt;height:19.350pt;mso-position-horizontal-relative:page;mso-position-vertical-relative:page;z-index:-1593702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Calibri" w:hAnsi="Calibri"/>
                    <w:sz w:val="28"/>
                  </w:rPr>
                </w:pPr>
                <w:r>
                  <w:rPr>
                    <w:rFonts w:ascii="Calibri" w:hAnsi="Calibri"/>
                    <w:color w:val="000007"/>
                    <w:spacing w:val="-16"/>
                    <w:w w:val="140"/>
                    <w:sz w:val="28"/>
                  </w:rPr>
                  <w:t>—</w:t>
                </w:r>
                <w:r>
                  <w:rPr>
                    <w:rFonts w:ascii="Calibri" w:hAnsi="Calibri"/>
                    <w:color w:val="000007"/>
                    <w:spacing w:val="2"/>
                    <w:w w:val="140"/>
                    <w:sz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color w:val="000007"/>
                    <w:spacing w:val="-16"/>
                    <w:w w:val="15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color w:val="000007"/>
                    <w:spacing w:val="-16"/>
                    <w:w w:val="150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4.816956pt;margin-top:755.500122pt;width:58.1pt;height:18.150pt;mso-position-horizontal-relative:page;mso-position-vertical-relative:page;z-index:-15936512" type="#_x0000_t202" filled="false" stroked="false">
          <v:textbox inset="0,0,0,0">
            <w:txbxContent>
              <w:p>
                <w:pPr>
                  <w:spacing w:line="339" w:lineRule="exact" w:before="0"/>
                  <w:ind w:left="20" w:right="0" w:firstLine="0"/>
                  <w:jc w:val="left"/>
                  <w:rPr>
                    <w:rFonts w:ascii="Calibri" w:hAnsi="Calibri"/>
                    <w:sz w:val="28"/>
                  </w:rPr>
                </w:pPr>
                <w:r>
                  <w:rPr>
                    <w:rFonts w:ascii="Calibri" w:hAnsi="Calibri"/>
                    <w:color w:val="000007"/>
                    <w:w w:val="125"/>
                    <w:sz w:val="28"/>
                  </w:rPr>
                  <w:t>—</w:t>
                </w:r>
                <w:r>
                  <w:rPr>
                    <w:rFonts w:ascii="Calibri" w:hAnsi="Calibri"/>
                    <w:color w:val="000007"/>
                    <w:spacing w:val="38"/>
                    <w:w w:val="125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color w:val="000007"/>
                    <w:w w:val="180"/>
                    <w:sz w:val="28"/>
                  </w:rPr>
                  <w:t>1</w:t>
                </w:r>
                <w:r>
                  <w:rPr>
                    <w:rFonts w:ascii="Calibri" w:hAnsi="Calibri"/>
                    <w:b/>
                    <w:color w:val="000007"/>
                    <w:spacing w:val="3"/>
                    <w:w w:val="180"/>
                    <w:sz w:val="28"/>
                  </w:rPr>
                  <w:t> </w:t>
                </w:r>
                <w:r>
                  <w:rPr>
                    <w:rFonts w:ascii="Calibri" w:hAnsi="Calibri"/>
                    <w:color w:val="000007"/>
                    <w:w w:val="125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37"/>
      <w:ind w:left="1067" w:right="1062"/>
      <w:jc w:val="center"/>
      <w:outlineLvl w:val="1"/>
    </w:pPr>
    <w:rPr>
      <w:rFonts w:ascii="宋体" w:hAnsi="宋体" w:eastAsia="宋体" w:cs="宋体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footer" Target="footer3.xml"/><Relationship Id="rId19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cp:keywords>ft</cp:keywords>
  <dc:subject>ft</dc:subject>
  <dcterms:created xsi:type="dcterms:W3CDTF">2023-05-16T01:50:52Z</dcterms:created>
  <dcterms:modified xsi:type="dcterms:W3CDTF">2023-05-16T01:50:52Z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Foxit OFDToPDF 1.0</vt:lpwstr>
  </property>
  <property fmtid="{D5CDD505-2E9C-101B-9397-08002B2CF9AE}" pid="4" name="LastSaved">
    <vt:filetime>2022-03-31T00:00:00Z</vt:filetime>
  </property>
</Properties>
</file>